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0F" w:rsidRDefault="00C8090F" w:rsidP="00C8090F">
      <w:pPr>
        <w:pStyle w:val="Heading2"/>
        <w:jc w:val="both"/>
      </w:pPr>
      <w:r>
        <w:rPr>
          <w:rFonts w:eastAsia="Calibri" w:cs="Times New Roman"/>
          <w:bCs w:val="0"/>
          <w:color w:val="005B38"/>
          <w:szCs w:val="28"/>
        </w:rPr>
        <w:t>A Model of a</w:t>
      </w:r>
      <w:r w:rsidRPr="00C8090F">
        <w:rPr>
          <w:rFonts w:eastAsia="Calibri" w:cs="Times New Roman"/>
          <w:bCs w:val="0"/>
          <w:color w:val="005B38"/>
          <w:szCs w:val="28"/>
        </w:rPr>
        <w:t>n Acute Deterioration Policy Compliance Assessment and Action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302"/>
        <w:gridCol w:w="994"/>
        <w:gridCol w:w="1134"/>
        <w:gridCol w:w="653"/>
        <w:gridCol w:w="1852"/>
        <w:gridCol w:w="187"/>
        <w:gridCol w:w="1276"/>
        <w:gridCol w:w="317"/>
        <w:gridCol w:w="2661"/>
        <w:gridCol w:w="425"/>
        <w:gridCol w:w="2837"/>
      </w:tblGrid>
      <w:tr w:rsidR="00C8090F" w:rsidTr="008301F5">
        <w:tc>
          <w:tcPr>
            <w:tcW w:w="2803" w:type="dxa"/>
            <w:gridSpan w:val="3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Compliance source:</w:t>
            </w:r>
          </w:p>
        </w:tc>
        <w:tc>
          <w:tcPr>
            <w:tcW w:w="1134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Pr="00CA53DB" w:rsidRDefault="00C8090F" w:rsidP="008301F5">
            <w:pPr>
              <w:jc w:val="both"/>
              <w:rPr>
                <w:i/>
              </w:rPr>
            </w:pPr>
            <w:r>
              <w:rPr>
                <w:i/>
              </w:rPr>
              <w:t xml:space="preserve">MP ____/2018 </w:t>
            </w:r>
            <w:r w:rsidRPr="00CA53DB">
              <w:rPr>
                <w:i/>
              </w:rPr>
              <w:t>Recognising and Responding to Acute Deterioration Policy, WA Department of Health</w:t>
            </w:r>
          </w:p>
        </w:tc>
      </w:tr>
      <w:tr w:rsidR="00C8090F" w:rsidTr="008301F5">
        <w:tc>
          <w:tcPr>
            <w:tcW w:w="2803" w:type="dxa"/>
            <w:gridSpan w:val="3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Compliance owner:</w:t>
            </w:r>
          </w:p>
        </w:tc>
        <w:tc>
          <w:tcPr>
            <w:tcW w:w="1134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2803" w:type="dxa"/>
            <w:gridSpan w:val="3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Place of audit:</w:t>
            </w:r>
          </w:p>
        </w:tc>
        <w:tc>
          <w:tcPr>
            <w:tcW w:w="1134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10883" w:type="dxa"/>
            <w:gridSpan w:val="10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Documents reviewed</w:t>
            </w:r>
          </w:p>
        </w:tc>
        <w:tc>
          <w:tcPr>
            <w:tcW w:w="3262" w:type="dxa"/>
            <w:gridSpan w:val="2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Attached (y/n)</w:t>
            </w:r>
          </w:p>
        </w:tc>
      </w:tr>
      <w:tr w:rsidR="00C8090F" w:rsidTr="008301F5">
        <w:tc>
          <w:tcPr>
            <w:tcW w:w="50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Pr="00491DC5" w:rsidRDefault="00C8090F" w:rsidP="008301F5">
            <w:pPr>
              <w:jc w:val="both"/>
            </w:pPr>
            <w:r w:rsidRPr="00CA53DB">
              <w:t>1</w:t>
            </w:r>
          </w:p>
        </w:tc>
        <w:tc>
          <w:tcPr>
            <w:tcW w:w="10376" w:type="dxa"/>
            <w:gridSpan w:val="9"/>
            <w:shd w:val="clear" w:color="auto" w:fill="auto"/>
          </w:tcPr>
          <w:p w:rsidR="00C8090F" w:rsidRPr="00CA53DB" w:rsidRDefault="00C8090F" w:rsidP="008301F5">
            <w:pPr>
              <w:jc w:val="both"/>
            </w:pPr>
          </w:p>
        </w:tc>
        <w:tc>
          <w:tcPr>
            <w:tcW w:w="32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50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Pr="00491DC5" w:rsidRDefault="00C8090F" w:rsidP="008301F5">
            <w:pPr>
              <w:jc w:val="both"/>
            </w:pPr>
            <w:r>
              <w:t>2</w:t>
            </w:r>
          </w:p>
        </w:tc>
        <w:tc>
          <w:tcPr>
            <w:tcW w:w="10376" w:type="dxa"/>
            <w:gridSpan w:val="9"/>
            <w:shd w:val="clear" w:color="auto" w:fill="auto"/>
          </w:tcPr>
          <w:p w:rsidR="00C8090F" w:rsidRPr="00CA53DB" w:rsidRDefault="00C8090F" w:rsidP="008301F5">
            <w:pPr>
              <w:jc w:val="both"/>
            </w:pPr>
          </w:p>
        </w:tc>
        <w:tc>
          <w:tcPr>
            <w:tcW w:w="32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50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Pr="00491DC5" w:rsidRDefault="00C8090F" w:rsidP="008301F5">
            <w:pPr>
              <w:jc w:val="both"/>
            </w:pPr>
            <w:r>
              <w:t>3</w:t>
            </w:r>
          </w:p>
        </w:tc>
        <w:tc>
          <w:tcPr>
            <w:tcW w:w="10376" w:type="dxa"/>
            <w:gridSpan w:val="9"/>
            <w:shd w:val="clear" w:color="auto" w:fill="auto"/>
          </w:tcPr>
          <w:p w:rsidR="00C8090F" w:rsidRPr="00CA53DB" w:rsidRDefault="00C8090F" w:rsidP="008301F5">
            <w:pPr>
              <w:jc w:val="both"/>
            </w:pPr>
          </w:p>
        </w:tc>
        <w:tc>
          <w:tcPr>
            <w:tcW w:w="32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50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Pr="00491DC5" w:rsidRDefault="00C8090F" w:rsidP="008301F5">
            <w:pPr>
              <w:jc w:val="both"/>
            </w:pPr>
            <w:r>
              <w:t>4</w:t>
            </w:r>
          </w:p>
        </w:tc>
        <w:tc>
          <w:tcPr>
            <w:tcW w:w="10376" w:type="dxa"/>
            <w:gridSpan w:val="9"/>
            <w:shd w:val="clear" w:color="auto" w:fill="auto"/>
          </w:tcPr>
          <w:p w:rsidR="00C8090F" w:rsidRPr="00CA53DB" w:rsidRDefault="00C8090F" w:rsidP="008301F5">
            <w:pPr>
              <w:jc w:val="both"/>
            </w:pPr>
          </w:p>
        </w:tc>
        <w:tc>
          <w:tcPr>
            <w:tcW w:w="32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Pr="00B865DE" w:rsidRDefault="00C8090F" w:rsidP="008301F5">
            <w:pPr>
              <w:jc w:val="both"/>
              <w:rPr>
                <w:b/>
              </w:rPr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Policy Requirements</w:t>
            </w:r>
          </w:p>
        </w:tc>
        <w:tc>
          <w:tcPr>
            <w:tcW w:w="1852" w:type="dxa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Evidence summary</w:t>
            </w:r>
          </w:p>
        </w:tc>
        <w:tc>
          <w:tcPr>
            <w:tcW w:w="1780" w:type="dxa"/>
            <w:gridSpan w:val="3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Conformance (y/n)</w:t>
            </w:r>
          </w:p>
        </w:tc>
        <w:tc>
          <w:tcPr>
            <w:tcW w:w="5923" w:type="dxa"/>
            <w:gridSpan w:val="3"/>
            <w:shd w:val="clear" w:color="auto" w:fill="7F7F7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Non-</w:t>
            </w:r>
            <w:r>
              <w:rPr>
                <w:b/>
                <w:color w:val="FFFFFF"/>
              </w:rPr>
              <w:t xml:space="preserve">compliance </w:t>
            </w:r>
            <w:r w:rsidRPr="00F803A3">
              <w:rPr>
                <w:b/>
                <w:color w:val="FFFFFF"/>
              </w:rPr>
              <w:t>summary (major/minor and actions required to improve compliance)</w:t>
            </w:r>
          </w:p>
        </w:tc>
      </w:tr>
      <w:tr w:rsidR="00C8090F" w:rsidTr="008301F5">
        <w:tc>
          <w:tcPr>
            <w:tcW w:w="14145" w:type="dxa"/>
            <w:gridSpan w:val="12"/>
            <w:shd w:val="clear" w:color="auto" w:fill="D9D9D9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spacing w:after="0"/>
              <w:jc w:val="both"/>
              <w:rPr>
                <w:b/>
                <w:color w:val="808080"/>
              </w:rPr>
            </w:pPr>
            <w:r w:rsidRPr="00F803A3">
              <w:rPr>
                <w:b/>
                <w:color w:val="808080"/>
              </w:rPr>
              <w:t>Local deterioration policy/</w:t>
            </w:r>
            <w:proofErr w:type="spellStart"/>
            <w:r w:rsidRPr="00F803A3">
              <w:rPr>
                <w:b/>
                <w:color w:val="808080"/>
              </w:rPr>
              <w:t>ies</w:t>
            </w:r>
            <w:proofErr w:type="spellEnd"/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color w:val="808080"/>
              </w:rPr>
            </w:pPr>
            <w:r>
              <w:t>Current local deterioration policy/</w:t>
            </w:r>
            <w:proofErr w:type="spellStart"/>
            <w:r>
              <w:t>ies</w:t>
            </w:r>
            <w:proofErr w:type="spellEnd"/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Policy is based on best available evidence at time of publication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Policy includes a documented risk assessment as part of the development process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 xml:space="preserve">Policy covers both mental and </w:t>
            </w:r>
            <w:r>
              <w:lastRenderedPageBreak/>
              <w:t>physiological deterioration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lastRenderedPageBreak/>
              <w:t>Policy</w:t>
            </w:r>
            <w:r>
              <w:tab/>
              <w:t>mandates use of a specific Observation and Response Chart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Policy highlights the following high risk situations for patient monitoring:</w:t>
            </w:r>
          </w:p>
          <w:p w:rsidR="00C8090F" w:rsidRDefault="00C8090F" w:rsidP="008301F5">
            <w:pPr>
              <w:jc w:val="both"/>
            </w:pPr>
            <w:r>
              <w:t>- patient is experiencing, or at risk of experiencing deterioration</w:t>
            </w:r>
          </w:p>
          <w:p w:rsidR="00C8090F" w:rsidRDefault="00C8090F" w:rsidP="008301F5">
            <w:pPr>
              <w:jc w:val="both"/>
            </w:pPr>
            <w:r>
              <w:t>- admission/initial assessment</w:t>
            </w:r>
          </w:p>
          <w:p w:rsidR="00C8090F" w:rsidRDefault="00C8090F" w:rsidP="008301F5">
            <w:pPr>
              <w:jc w:val="both"/>
            </w:pPr>
            <w:r>
              <w:t>- prior to inter-/intra-hospital transfer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Policy requires clinicians to identify, adjust and manage required modifications to physiological escalation parameters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Policy  requires all failures to recognise or respond to deterioration to be managed in accordance with the WA Clinical Incident Management Policy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4145" w:type="dxa"/>
            <w:gridSpan w:val="12"/>
            <w:shd w:val="clear" w:color="auto" w:fill="BFBFBF"/>
            <w:tcMar>
              <w:top w:w="57" w:type="dxa"/>
              <w:bottom w:w="57" w:type="dxa"/>
            </w:tcMar>
          </w:tcPr>
          <w:p w:rsidR="00C8090F" w:rsidRDefault="00C8090F" w:rsidP="008301F5">
            <w:pPr>
              <w:spacing w:after="0"/>
              <w:jc w:val="both"/>
            </w:pPr>
            <w:r w:rsidRPr="00F803A3">
              <w:rPr>
                <w:b/>
                <w:color w:val="808080"/>
              </w:rPr>
              <w:t>Rapid response system</w:t>
            </w: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Formal rapid response system in place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Rapid response team consists of trained and competent members appropriate to local requirements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ind w:left="709" w:hanging="709"/>
              <w:jc w:val="both"/>
            </w:pPr>
            <w:r>
              <w:t>Roles and responsibilities include: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lastRenderedPageBreak/>
              <w:t>- Ensuring emergency assistance equipment reaches the patient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Directing and coordinating activities/treatment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Communicating outcomes to relevant healthcare team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Authorising intra- and inter-hospital transfer decisions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Making treatment-limiting decisions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Documenting care</w:t>
            </w:r>
          </w:p>
          <w:p w:rsidR="00C8090F" w:rsidRDefault="00C8090F" w:rsidP="008301F5">
            <w:pPr>
              <w:ind w:left="142" w:hanging="142"/>
              <w:jc w:val="both"/>
            </w:pPr>
            <w:r>
              <w:t>- Communicating with patient, family and carers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lastRenderedPageBreak/>
              <w:t>Rapid response system is operational 24 hours, 7 days per week.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Rapid response system is appropriately resourced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4145" w:type="dxa"/>
            <w:gridSpan w:val="12"/>
            <w:shd w:val="clear" w:color="auto" w:fill="BFBFBF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spacing w:after="0"/>
              <w:jc w:val="both"/>
              <w:rPr>
                <w:b/>
                <w:color w:val="808080"/>
              </w:rPr>
            </w:pPr>
            <w:r w:rsidRPr="00F803A3">
              <w:rPr>
                <w:b/>
                <w:color w:val="808080"/>
              </w:rPr>
              <w:t>Observation and Response Chart</w:t>
            </w: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Observation and Response Chart incorporates a track and trigger system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Observation and Response Chart is implemented throughout the service/facility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4145" w:type="dxa"/>
            <w:gridSpan w:val="12"/>
            <w:shd w:val="clear" w:color="auto" w:fill="BFBFBF"/>
            <w:tcMar>
              <w:top w:w="57" w:type="dxa"/>
              <w:bottom w:w="57" w:type="dxa"/>
            </w:tcMar>
          </w:tcPr>
          <w:p w:rsidR="00C8090F" w:rsidRDefault="00C8090F" w:rsidP="008301F5">
            <w:pPr>
              <w:spacing w:after="0"/>
              <w:jc w:val="both"/>
            </w:pPr>
            <w:r w:rsidRPr="00F803A3">
              <w:rPr>
                <w:b/>
                <w:color w:val="808080"/>
              </w:rPr>
              <w:t>Training</w:t>
            </w: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lastRenderedPageBreak/>
              <w:t>All clinical staff are trained, within their scope, to use the system in place, and to be aware of  their responsibilities within this system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All non-clinical staff are aware of the local policy, and the rapid response system and know how to activate this</w:t>
            </w:r>
          </w:p>
          <w:p w:rsidR="001E41A0" w:rsidRDefault="001E41A0" w:rsidP="008301F5">
            <w:pPr>
              <w:jc w:val="both"/>
            </w:pPr>
          </w:p>
          <w:p w:rsidR="001E41A0" w:rsidRDefault="001E41A0" w:rsidP="008301F5">
            <w:pPr>
              <w:jc w:val="both"/>
            </w:pP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4145" w:type="dxa"/>
            <w:gridSpan w:val="12"/>
            <w:shd w:val="clear" w:color="auto" w:fill="BFBFBF"/>
            <w:tcMar>
              <w:top w:w="57" w:type="dxa"/>
              <w:bottom w:w="57" w:type="dxa"/>
            </w:tcMar>
          </w:tcPr>
          <w:p w:rsidR="00C8090F" w:rsidRDefault="00C8090F" w:rsidP="008301F5">
            <w:pPr>
              <w:spacing w:after="0"/>
              <w:jc w:val="both"/>
            </w:pPr>
            <w:r w:rsidRPr="00F803A3">
              <w:rPr>
                <w:b/>
                <w:color w:val="808080"/>
              </w:rPr>
              <w:t>Advance Care Planning and Directives</w:t>
            </w:r>
          </w:p>
        </w:tc>
      </w:tr>
      <w:tr w:rsidR="00C8090F" w:rsidTr="008301F5">
        <w:tc>
          <w:tcPr>
            <w:tcW w:w="4590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  <w:r>
              <w:t>Process/</w:t>
            </w:r>
            <w:proofErr w:type="spellStart"/>
            <w:r>
              <w:t>es</w:t>
            </w:r>
            <w:proofErr w:type="spellEnd"/>
            <w:r>
              <w:t xml:space="preserve"> in place to ensure clinical staff identify, and are aware of, advance care planning and directives when managing or escalating care of a deteriorating patient</w:t>
            </w:r>
          </w:p>
        </w:tc>
        <w:tc>
          <w:tcPr>
            <w:tcW w:w="1852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59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4145" w:type="dxa"/>
            <w:gridSpan w:val="12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Required actions*</w:t>
            </w:r>
          </w:p>
        </w:tc>
      </w:tr>
      <w:tr w:rsidR="00C8090F" w:rsidTr="008301F5">
        <w:tc>
          <w:tcPr>
            <w:tcW w:w="8222" w:type="dxa"/>
            <w:gridSpan w:val="9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Action/s</w:t>
            </w:r>
          </w:p>
        </w:tc>
        <w:tc>
          <w:tcPr>
            <w:tcW w:w="3086" w:type="dxa"/>
            <w:gridSpan w:val="2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Responsibility</w:t>
            </w:r>
          </w:p>
        </w:tc>
        <w:tc>
          <w:tcPr>
            <w:tcW w:w="2837" w:type="dxa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Completion deadline</w:t>
            </w:r>
          </w:p>
        </w:tc>
      </w:tr>
      <w:tr w:rsidR="00C8090F" w:rsidTr="008301F5">
        <w:tc>
          <w:tcPr>
            <w:tcW w:w="822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30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283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822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30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283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822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30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283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8222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30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2837" w:type="dxa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809" w:type="dxa"/>
            <w:gridSpan w:val="2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Auditor</w:t>
            </w:r>
          </w:p>
        </w:tc>
        <w:tc>
          <w:tcPr>
            <w:tcW w:w="994" w:type="dxa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Name:</w:t>
            </w:r>
          </w:p>
        </w:tc>
        <w:tc>
          <w:tcPr>
            <w:tcW w:w="382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276" w:type="dxa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Position:</w:t>
            </w:r>
          </w:p>
        </w:tc>
        <w:tc>
          <w:tcPr>
            <w:tcW w:w="6240" w:type="dxa"/>
            <w:gridSpan w:val="4"/>
            <w:shd w:val="clear" w:color="auto" w:fill="auto"/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3937" w:type="dxa"/>
            <w:gridSpan w:val="4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lastRenderedPageBreak/>
              <w:t>Date of assessment completion:</w:t>
            </w:r>
          </w:p>
        </w:tc>
        <w:tc>
          <w:tcPr>
            <w:tcW w:w="10208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1809" w:type="dxa"/>
            <w:gridSpan w:val="2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Endorsed by</w:t>
            </w:r>
          </w:p>
        </w:tc>
        <w:tc>
          <w:tcPr>
            <w:tcW w:w="994" w:type="dxa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Name:</w:t>
            </w:r>
          </w:p>
        </w:tc>
        <w:tc>
          <w:tcPr>
            <w:tcW w:w="382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  <w:tc>
          <w:tcPr>
            <w:tcW w:w="1276" w:type="dxa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Position:</w:t>
            </w:r>
          </w:p>
        </w:tc>
        <w:tc>
          <w:tcPr>
            <w:tcW w:w="6240" w:type="dxa"/>
            <w:gridSpan w:val="4"/>
            <w:shd w:val="clear" w:color="auto" w:fill="auto"/>
          </w:tcPr>
          <w:p w:rsidR="00C8090F" w:rsidRDefault="00C8090F" w:rsidP="008301F5">
            <w:pPr>
              <w:jc w:val="both"/>
            </w:pPr>
          </w:p>
        </w:tc>
      </w:tr>
      <w:tr w:rsidR="00C8090F" w:rsidTr="008301F5">
        <w:tc>
          <w:tcPr>
            <w:tcW w:w="3937" w:type="dxa"/>
            <w:gridSpan w:val="4"/>
            <w:shd w:val="clear" w:color="auto" w:fill="808080"/>
            <w:tcMar>
              <w:top w:w="57" w:type="dxa"/>
              <w:bottom w:w="57" w:type="dxa"/>
            </w:tcMar>
          </w:tcPr>
          <w:p w:rsidR="00C8090F" w:rsidRPr="00F803A3" w:rsidRDefault="00C8090F" w:rsidP="008301F5">
            <w:pPr>
              <w:jc w:val="both"/>
              <w:rPr>
                <w:b/>
                <w:color w:val="FFFFFF"/>
              </w:rPr>
            </w:pPr>
            <w:r w:rsidRPr="00F803A3">
              <w:rPr>
                <w:b/>
                <w:color w:val="FFFFFF"/>
              </w:rPr>
              <w:t>Date of endorsement:</w:t>
            </w:r>
          </w:p>
        </w:tc>
        <w:tc>
          <w:tcPr>
            <w:tcW w:w="10208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C8090F" w:rsidRDefault="00C8090F" w:rsidP="008301F5">
            <w:pPr>
              <w:jc w:val="both"/>
            </w:pPr>
          </w:p>
        </w:tc>
      </w:tr>
    </w:tbl>
    <w:p w:rsidR="004C2780" w:rsidRPr="001F6030" w:rsidRDefault="00C8090F" w:rsidP="00B02BCF">
      <w:pPr>
        <w:spacing w:after="0"/>
      </w:pPr>
      <w:r>
        <w:t>* Additional compliance assessment/s will be required following the completion deadline</w:t>
      </w:r>
      <w:r w:rsidR="001E41A0">
        <w:t>.</w:t>
      </w:r>
      <w:bookmarkStart w:id="0" w:name="_GoBack"/>
      <w:bookmarkEnd w:id="0"/>
    </w:p>
    <w:sectPr w:rsidR="004C2780" w:rsidRPr="001F6030" w:rsidSect="00C809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0F" w:rsidRDefault="00C8090F" w:rsidP="00C8090F">
      <w:pPr>
        <w:spacing w:after="0"/>
      </w:pPr>
      <w:r>
        <w:separator/>
      </w:r>
    </w:p>
  </w:endnote>
  <w:endnote w:type="continuationSeparator" w:id="0">
    <w:p w:rsidR="00C8090F" w:rsidRDefault="00C8090F" w:rsidP="00C80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0F" w:rsidRDefault="00C8090F" w:rsidP="00C8090F">
      <w:pPr>
        <w:spacing w:after="0"/>
      </w:pPr>
      <w:r>
        <w:separator/>
      </w:r>
    </w:p>
  </w:footnote>
  <w:footnote w:type="continuationSeparator" w:id="0">
    <w:p w:rsidR="00C8090F" w:rsidRDefault="00C8090F" w:rsidP="00C80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0F" w:rsidRPr="001E41A0" w:rsidRDefault="00C8090F" w:rsidP="001E4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0F"/>
    <w:rsid w:val="001437E0"/>
    <w:rsid w:val="00171B7B"/>
    <w:rsid w:val="001C7D1F"/>
    <w:rsid w:val="001E41A0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9D092B"/>
    <w:rsid w:val="00A91C4C"/>
    <w:rsid w:val="00B02BCF"/>
    <w:rsid w:val="00BB5682"/>
    <w:rsid w:val="00BD41EB"/>
    <w:rsid w:val="00BE3C2D"/>
    <w:rsid w:val="00C7143D"/>
    <w:rsid w:val="00C8090F"/>
    <w:rsid w:val="00CF64E2"/>
    <w:rsid w:val="00D147D4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8090F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 w:cstheme="minorBidi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/>
    </w:pPr>
    <w:rPr>
      <w:rFonts w:eastAsiaTheme="minorHAnsi" w:cstheme="minorBidi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/>
      <w:ind w:left="720"/>
      <w:contextualSpacing/>
    </w:pPr>
    <w:rPr>
      <w:rFonts w:eastAsiaTheme="minorHAnsi" w:cstheme="minorBidi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 w:cstheme="minorBidi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 w:cstheme="minorBidi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 w:cstheme="min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C8090F"/>
    <w:pPr>
      <w:tabs>
        <w:tab w:val="center" w:pos="4513"/>
        <w:tab w:val="right" w:pos="9026"/>
      </w:tabs>
      <w:spacing w:after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90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C8090F"/>
    <w:pPr>
      <w:tabs>
        <w:tab w:val="center" w:pos="4513"/>
        <w:tab w:val="right" w:pos="9026"/>
      </w:tabs>
      <w:spacing w:after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090F"/>
    <w:rPr>
      <w:rFonts w:ascii="Arial" w:hAnsi="Arial"/>
      <w:sz w:val="24"/>
    </w:rPr>
  </w:style>
  <w:style w:type="character" w:styleId="CommentReference">
    <w:name w:val="annotation reference"/>
    <w:uiPriority w:val="99"/>
    <w:semiHidden/>
    <w:rsid w:val="00C8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90F"/>
    <w:rPr>
      <w:rFonts w:ascii="Arial" w:eastAsia="Calibri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8090F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rFonts w:eastAsiaTheme="minorHAnsi" w:cstheme="minorBidi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/>
    </w:pPr>
    <w:rPr>
      <w:rFonts w:eastAsiaTheme="minorHAnsi" w:cstheme="minorBidi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/>
      <w:ind w:left="720"/>
      <w:contextualSpacing/>
    </w:pPr>
    <w:rPr>
      <w:rFonts w:eastAsiaTheme="minorHAnsi" w:cstheme="minorBidi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rFonts w:eastAsiaTheme="minorHAnsi" w:cstheme="minorBidi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rFonts w:eastAsiaTheme="minorHAnsi" w:cstheme="minorBidi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rFonts w:eastAsiaTheme="minorHAnsi" w:cstheme="min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C8090F"/>
    <w:pPr>
      <w:tabs>
        <w:tab w:val="center" w:pos="4513"/>
        <w:tab w:val="right" w:pos="9026"/>
      </w:tabs>
      <w:spacing w:after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90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C8090F"/>
    <w:pPr>
      <w:tabs>
        <w:tab w:val="center" w:pos="4513"/>
        <w:tab w:val="right" w:pos="9026"/>
      </w:tabs>
      <w:spacing w:after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090F"/>
    <w:rPr>
      <w:rFonts w:ascii="Arial" w:hAnsi="Arial"/>
      <w:sz w:val="24"/>
    </w:rPr>
  </w:style>
  <w:style w:type="character" w:styleId="CommentReference">
    <w:name w:val="annotation reference"/>
    <w:uiPriority w:val="99"/>
    <w:semiHidden/>
    <w:rsid w:val="00C8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90F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FE77-0F55-436E-A788-6ECD4E13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Natalie</dc:creator>
  <cp:lastModifiedBy>Churchill, Guy</cp:lastModifiedBy>
  <cp:revision>2</cp:revision>
  <dcterms:created xsi:type="dcterms:W3CDTF">2018-06-06T07:15:00Z</dcterms:created>
  <dcterms:modified xsi:type="dcterms:W3CDTF">2018-06-06T07:15:00Z</dcterms:modified>
</cp:coreProperties>
</file>