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2E5F5B" w:rsidP="00E775B0">
      <w:r>
        <w:rPr>
          <w:noProof/>
          <w:lang w:eastAsia="en-AU"/>
        </w:rPr>
        <w:drawing>
          <wp:inline distT="0" distB="0" distL="0" distR="0" wp14:anchorId="377990FE" wp14:editId="4DBC36D1">
            <wp:extent cx="2674800" cy="493200"/>
            <wp:effectExtent l="0" t="0" r="0" b="254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7BD" w:rsidRDefault="003102E6" w:rsidP="002E5F5B">
      <w:pPr>
        <w:pStyle w:val="Heading1"/>
      </w:pPr>
      <w:r>
        <w:t>Western Australian Coding Rule</w:t>
      </w:r>
    </w:p>
    <w:p w:rsidR="00C83154" w:rsidRPr="00DA6E3F" w:rsidRDefault="00DE4BA1" w:rsidP="00C83154">
      <w:pPr>
        <w:pStyle w:val="Heading2"/>
        <w:rPr>
          <w:i/>
        </w:rPr>
      </w:pPr>
      <w:r>
        <w:t>0613</w:t>
      </w:r>
      <w:r w:rsidR="00C83154">
        <w:t>/</w:t>
      </w:r>
      <w:r w:rsidR="00CA2E0E">
        <w:t>0</w:t>
      </w:r>
      <w:r>
        <w:t>5</w:t>
      </w:r>
      <w:r w:rsidR="00B14720">
        <w:t xml:space="preserve"> </w:t>
      </w:r>
      <w:r w:rsidR="00FF4D87">
        <w:tab/>
      </w:r>
      <w:r>
        <w:t>Z53</w:t>
      </w:r>
      <w:r w:rsidR="00DA6E3F">
        <w:t xml:space="preserve"> code instruction in ACS 1551 </w:t>
      </w:r>
      <w:r w:rsidR="00DA6E3F" w:rsidRPr="00DA6E3F">
        <w:rPr>
          <w:i/>
        </w:rPr>
        <w:t>Obstetric perineal lacerations/grazes</w:t>
      </w:r>
    </w:p>
    <w:p w:rsidR="00A75FFC" w:rsidRPr="008F5647" w:rsidRDefault="00F31B78" w:rsidP="00C83154">
      <w:pPr>
        <w:pStyle w:val="Heading2"/>
        <w:rPr>
          <w:color w:val="auto"/>
          <w:sz w:val="26"/>
        </w:rPr>
      </w:pPr>
      <w:r>
        <w:rPr>
          <w:color w:val="auto"/>
          <w:sz w:val="26"/>
        </w:rPr>
        <w:t>Q.</w:t>
      </w:r>
    </w:p>
    <w:p w:rsidR="00DE4BA1" w:rsidRDefault="00DE4BA1" w:rsidP="00DE4BA1">
      <w:pPr>
        <w:autoSpaceDE w:val="0"/>
        <w:autoSpaceDN w:val="0"/>
        <w:adjustRightInd w:val="0"/>
        <w:spacing w:after="0"/>
        <w:rPr>
          <w:rFonts w:cs="Arial"/>
          <w:color w:val="000000"/>
          <w:szCs w:val="24"/>
        </w:rPr>
      </w:pPr>
      <w:r w:rsidRPr="00DE4BA1">
        <w:rPr>
          <w:rFonts w:cs="Arial"/>
          <w:color w:val="000000"/>
          <w:szCs w:val="24"/>
        </w:rPr>
        <w:t xml:space="preserve">ACS 1551 </w:t>
      </w:r>
      <w:r w:rsidR="00DA6E3F" w:rsidRPr="00DE4BA1">
        <w:rPr>
          <w:rFonts w:cs="Arial"/>
          <w:i/>
          <w:iCs/>
          <w:color w:val="000000"/>
          <w:szCs w:val="24"/>
        </w:rPr>
        <w:t xml:space="preserve">Obstetric perineal lacerations/grazes </w:t>
      </w:r>
      <w:r w:rsidR="00DA6E3F" w:rsidRPr="00DA6E3F">
        <w:rPr>
          <w:rFonts w:cs="Arial"/>
          <w:iCs/>
          <w:color w:val="000000"/>
          <w:szCs w:val="24"/>
        </w:rPr>
        <w:t>instructs</w:t>
      </w:r>
      <w:r w:rsidR="00DA6E3F">
        <w:rPr>
          <w:rFonts w:cs="Arial"/>
          <w:i/>
          <w:iCs/>
          <w:color w:val="000000"/>
          <w:szCs w:val="24"/>
        </w:rPr>
        <w:t xml:space="preserve"> </w:t>
      </w:r>
      <w:r w:rsidR="00FB0EED">
        <w:rPr>
          <w:rFonts w:cs="Arial"/>
          <w:color w:val="000000"/>
          <w:szCs w:val="24"/>
        </w:rPr>
        <w:t xml:space="preserve">to assign </w:t>
      </w:r>
      <w:r w:rsidR="00DA6E3F">
        <w:rPr>
          <w:rFonts w:cs="Arial"/>
          <w:color w:val="000000"/>
          <w:szCs w:val="24"/>
        </w:rPr>
        <w:t>Z53</w:t>
      </w:r>
      <w:r w:rsidR="000C21E1">
        <w:rPr>
          <w:rFonts w:cs="Arial"/>
          <w:color w:val="000000"/>
          <w:szCs w:val="24"/>
        </w:rPr>
        <w:t xml:space="preserve"> </w:t>
      </w:r>
      <w:r w:rsidR="000C21E1">
        <w:rPr>
          <w:rFonts w:cs="Arial"/>
          <w:i/>
          <w:color w:val="000000"/>
          <w:szCs w:val="24"/>
        </w:rPr>
        <w:t>Persons encountering health services for specific procedures, not carried out</w:t>
      </w:r>
      <w:r w:rsidR="00DA6E3F">
        <w:rPr>
          <w:rFonts w:cs="Arial"/>
          <w:color w:val="000000"/>
          <w:szCs w:val="24"/>
        </w:rPr>
        <w:t xml:space="preserve"> </w:t>
      </w:r>
      <w:r w:rsidR="000C21E1">
        <w:rPr>
          <w:rFonts w:cs="Arial"/>
          <w:color w:val="000000"/>
          <w:szCs w:val="24"/>
        </w:rPr>
        <w:t>after</w:t>
      </w:r>
      <w:r w:rsidRPr="00DE4BA1">
        <w:rPr>
          <w:rFonts w:cs="Arial"/>
          <w:color w:val="000000"/>
          <w:szCs w:val="24"/>
        </w:rPr>
        <w:t xml:space="preserve"> </w:t>
      </w:r>
      <w:r w:rsidR="008662B3">
        <w:rPr>
          <w:rFonts w:cs="Arial"/>
          <w:color w:val="000000"/>
          <w:szCs w:val="24"/>
        </w:rPr>
        <w:t>a</w:t>
      </w:r>
      <w:r w:rsidRPr="00DE4BA1">
        <w:rPr>
          <w:rFonts w:cs="Arial"/>
          <w:color w:val="000000"/>
          <w:szCs w:val="24"/>
        </w:rPr>
        <w:t xml:space="preserve"> laceration/graze</w:t>
      </w:r>
      <w:r w:rsidR="00FB0EED">
        <w:rPr>
          <w:rFonts w:cs="Arial"/>
          <w:color w:val="000000"/>
          <w:szCs w:val="24"/>
        </w:rPr>
        <w:t xml:space="preserve"> code</w:t>
      </w:r>
      <w:r w:rsidR="000C21E1">
        <w:rPr>
          <w:rFonts w:cs="Arial"/>
          <w:color w:val="000000"/>
          <w:szCs w:val="24"/>
        </w:rPr>
        <w:t>,</w:t>
      </w:r>
      <w:r w:rsidR="00DA6E3F">
        <w:rPr>
          <w:rFonts w:cs="Arial"/>
          <w:color w:val="000000"/>
          <w:szCs w:val="24"/>
        </w:rPr>
        <w:t xml:space="preserve"> when patient chooses not to have repair</w:t>
      </w:r>
      <w:r w:rsidRPr="00DE4BA1">
        <w:rPr>
          <w:rFonts w:cs="Arial"/>
          <w:color w:val="000000"/>
          <w:szCs w:val="24"/>
        </w:rPr>
        <w:t>. What is the logic of this instruction and can it be applied to other cases</w:t>
      </w:r>
      <w:r w:rsidR="008662B3">
        <w:rPr>
          <w:rFonts w:cs="Arial"/>
          <w:color w:val="000000"/>
          <w:szCs w:val="24"/>
        </w:rPr>
        <w:t xml:space="preserve"> where patient chooses not to have a procedure</w:t>
      </w:r>
      <w:r w:rsidRPr="00DE4BA1">
        <w:rPr>
          <w:rFonts w:cs="Arial"/>
          <w:color w:val="000000"/>
          <w:szCs w:val="24"/>
        </w:rPr>
        <w:t xml:space="preserve">? </w:t>
      </w:r>
    </w:p>
    <w:p w:rsidR="00DE4BA1" w:rsidRPr="00DE4BA1" w:rsidRDefault="00DE4BA1" w:rsidP="00DE4BA1">
      <w:pPr>
        <w:autoSpaceDE w:val="0"/>
        <w:autoSpaceDN w:val="0"/>
        <w:adjustRightInd w:val="0"/>
        <w:spacing w:after="0"/>
        <w:rPr>
          <w:rFonts w:cs="Arial"/>
          <w:color w:val="000000"/>
          <w:szCs w:val="24"/>
        </w:rPr>
      </w:pPr>
    </w:p>
    <w:p w:rsidR="00E73E11" w:rsidRPr="004F3B2E" w:rsidRDefault="008F5647" w:rsidP="004F3B2E">
      <w:r>
        <w:rPr>
          <w:rFonts w:eastAsiaTheme="majorEastAsia" w:cstheme="majorBidi"/>
          <w:b/>
          <w:bCs/>
          <w:sz w:val="26"/>
        </w:rPr>
        <w:t>A</w:t>
      </w:r>
      <w:r w:rsidR="00F31B78">
        <w:rPr>
          <w:rFonts w:eastAsiaTheme="majorEastAsia" w:cstheme="majorBidi"/>
          <w:b/>
          <w:bCs/>
          <w:sz w:val="26"/>
        </w:rPr>
        <w:t>.</w:t>
      </w:r>
      <w:r w:rsidR="00E73E11" w:rsidRPr="00E73E11">
        <w:rPr>
          <w:rFonts w:eastAsiaTheme="majorEastAsia" w:cstheme="majorBidi"/>
          <w:b/>
          <w:bCs/>
          <w:sz w:val="26"/>
        </w:rPr>
        <w:t xml:space="preserve"> </w:t>
      </w:r>
    </w:p>
    <w:p w:rsidR="00DA6E3F" w:rsidRDefault="00DE4BA1" w:rsidP="00DE4BA1">
      <w:pPr>
        <w:autoSpaceDE w:val="0"/>
        <w:autoSpaceDN w:val="0"/>
        <w:adjustRightInd w:val="0"/>
        <w:spacing w:after="0"/>
        <w:rPr>
          <w:rFonts w:cs="Arial"/>
          <w:i/>
          <w:iCs/>
          <w:color w:val="000000"/>
          <w:szCs w:val="24"/>
        </w:rPr>
      </w:pPr>
      <w:r w:rsidRPr="00DE4BA1">
        <w:rPr>
          <w:rFonts w:cs="Arial"/>
          <w:color w:val="000000"/>
          <w:szCs w:val="24"/>
        </w:rPr>
        <w:t xml:space="preserve">The </w:t>
      </w:r>
      <w:r w:rsidR="00DA6E3F">
        <w:rPr>
          <w:rFonts w:cs="Arial"/>
          <w:color w:val="000000"/>
          <w:szCs w:val="24"/>
        </w:rPr>
        <w:t xml:space="preserve">ACS 1551 </w:t>
      </w:r>
      <w:r w:rsidR="00DA6E3F" w:rsidRPr="00DE4BA1">
        <w:rPr>
          <w:rFonts w:cs="Arial"/>
          <w:i/>
          <w:iCs/>
          <w:color w:val="000000"/>
          <w:szCs w:val="24"/>
        </w:rPr>
        <w:t>Obstetric perineal lacerations/grazes</w:t>
      </w:r>
      <w:r w:rsidR="00DA6E3F">
        <w:rPr>
          <w:rFonts w:cs="Arial"/>
          <w:color w:val="000000"/>
          <w:szCs w:val="24"/>
        </w:rPr>
        <w:t xml:space="preserve"> </w:t>
      </w:r>
      <w:r w:rsidRPr="00DE4BA1">
        <w:rPr>
          <w:rFonts w:cs="Arial"/>
          <w:color w:val="000000"/>
          <w:szCs w:val="24"/>
        </w:rPr>
        <w:t>instruction to assign Z53</w:t>
      </w:r>
      <w:proofErr w:type="gramStart"/>
      <w:r w:rsidRPr="00DE4BA1">
        <w:rPr>
          <w:rFonts w:cs="Arial"/>
          <w:color w:val="000000"/>
          <w:szCs w:val="24"/>
        </w:rPr>
        <w:t>.-</w:t>
      </w:r>
      <w:proofErr w:type="gramEnd"/>
      <w:r w:rsidRPr="00DE4BA1">
        <w:rPr>
          <w:rFonts w:cs="Arial"/>
          <w:color w:val="000000"/>
          <w:szCs w:val="24"/>
        </w:rPr>
        <w:t xml:space="preserve"> </w:t>
      </w:r>
      <w:r w:rsidR="00DA6E3F">
        <w:rPr>
          <w:rFonts w:cs="Arial"/>
          <w:i/>
          <w:color w:val="000000"/>
          <w:szCs w:val="24"/>
        </w:rPr>
        <w:t xml:space="preserve">Persons encountering health services for specific procedures, not carried out </w:t>
      </w:r>
      <w:r w:rsidR="00DA6E3F">
        <w:rPr>
          <w:rFonts w:cs="Arial"/>
          <w:color w:val="000000"/>
          <w:szCs w:val="24"/>
        </w:rPr>
        <w:t xml:space="preserve">only applies to </w:t>
      </w:r>
      <w:r w:rsidR="00DA6E3F" w:rsidRPr="00DA6E3F">
        <w:rPr>
          <w:rFonts w:cs="Arial"/>
          <w:color w:val="000000"/>
          <w:szCs w:val="24"/>
        </w:rPr>
        <w:t>o</w:t>
      </w:r>
      <w:r w:rsidRPr="00DA6E3F">
        <w:rPr>
          <w:rFonts w:cs="Arial"/>
          <w:iCs/>
          <w:color w:val="000000"/>
          <w:szCs w:val="24"/>
        </w:rPr>
        <w:t>bstetric perineal lacerations/grazes</w:t>
      </w:r>
      <w:r w:rsidR="00DA6E3F" w:rsidRPr="00DA6E3F">
        <w:rPr>
          <w:rFonts w:cs="Arial"/>
          <w:iCs/>
          <w:color w:val="000000"/>
          <w:szCs w:val="24"/>
        </w:rPr>
        <w:t>.</w:t>
      </w:r>
    </w:p>
    <w:p w:rsidR="00DE4BA1" w:rsidRPr="00DE4BA1" w:rsidRDefault="00DE4BA1" w:rsidP="00DE4BA1">
      <w:pPr>
        <w:autoSpaceDE w:val="0"/>
        <w:autoSpaceDN w:val="0"/>
        <w:adjustRightInd w:val="0"/>
        <w:spacing w:after="0"/>
        <w:rPr>
          <w:rFonts w:cs="Arial"/>
          <w:color w:val="000000"/>
          <w:szCs w:val="24"/>
        </w:rPr>
      </w:pPr>
      <w:r w:rsidRPr="00DE4BA1">
        <w:rPr>
          <w:rFonts w:cs="Arial"/>
          <w:i/>
          <w:iCs/>
          <w:color w:val="000000"/>
          <w:szCs w:val="24"/>
        </w:rPr>
        <w:t xml:space="preserve"> </w:t>
      </w:r>
    </w:p>
    <w:p w:rsidR="00F2531A" w:rsidRPr="00DE4BA1" w:rsidRDefault="00DE4BA1" w:rsidP="00F2531A">
      <w:pPr>
        <w:autoSpaceDE w:val="0"/>
        <w:autoSpaceDN w:val="0"/>
        <w:adjustRightInd w:val="0"/>
        <w:spacing w:after="0"/>
        <w:rPr>
          <w:rFonts w:cs="Arial"/>
          <w:color w:val="000000"/>
          <w:szCs w:val="24"/>
        </w:rPr>
      </w:pPr>
      <w:r w:rsidRPr="00DE4BA1">
        <w:rPr>
          <w:rFonts w:cs="Arial"/>
          <w:color w:val="000000"/>
          <w:szCs w:val="24"/>
        </w:rPr>
        <w:t xml:space="preserve">The rationale behind the instruction </w:t>
      </w:r>
      <w:r w:rsidR="00DA6E3F">
        <w:rPr>
          <w:rFonts w:cs="Arial"/>
          <w:color w:val="000000"/>
          <w:szCs w:val="24"/>
        </w:rPr>
        <w:t>is to identify laceration/graze requiring repair without a corresponding ACHI repair code.</w:t>
      </w:r>
      <w:r w:rsidRPr="00DE4BA1">
        <w:rPr>
          <w:rFonts w:cs="Arial"/>
          <w:color w:val="000000"/>
          <w:szCs w:val="24"/>
        </w:rPr>
        <w:t xml:space="preserve"> This instruction was </w:t>
      </w:r>
      <w:r w:rsidR="000C21E1">
        <w:rPr>
          <w:rFonts w:cs="Arial"/>
          <w:color w:val="000000"/>
          <w:szCs w:val="24"/>
        </w:rPr>
        <w:t>added</w:t>
      </w:r>
      <w:r w:rsidRPr="00DE4BA1">
        <w:rPr>
          <w:rFonts w:cs="Arial"/>
          <w:color w:val="000000"/>
          <w:szCs w:val="24"/>
        </w:rPr>
        <w:t xml:space="preserve"> </w:t>
      </w:r>
      <w:r w:rsidR="000C21E1">
        <w:rPr>
          <w:rFonts w:cs="Arial"/>
          <w:color w:val="000000"/>
          <w:szCs w:val="24"/>
        </w:rPr>
        <w:t>to</w:t>
      </w:r>
      <w:r w:rsidRPr="00DE4BA1">
        <w:rPr>
          <w:rFonts w:cs="Arial"/>
          <w:color w:val="000000"/>
          <w:szCs w:val="24"/>
        </w:rPr>
        <w:t xml:space="preserve"> ACS 1551</w:t>
      </w:r>
      <w:r w:rsidR="000C21E1">
        <w:rPr>
          <w:rFonts w:cs="Arial"/>
          <w:color w:val="000000"/>
          <w:szCs w:val="24"/>
        </w:rPr>
        <w:t xml:space="preserve"> in Eight Edition</w:t>
      </w:r>
      <w:r w:rsidRPr="00DE4BA1">
        <w:rPr>
          <w:rFonts w:cs="Arial"/>
          <w:color w:val="000000"/>
          <w:szCs w:val="24"/>
        </w:rPr>
        <w:t xml:space="preserve"> to incorporate advice fro</w:t>
      </w:r>
      <w:r w:rsidR="00DA6E3F">
        <w:rPr>
          <w:rFonts w:cs="Arial"/>
          <w:color w:val="000000"/>
          <w:szCs w:val="24"/>
        </w:rPr>
        <w:t>m Coding Matters vol. 13 no. 2</w:t>
      </w:r>
      <w:r w:rsidR="00F2531A">
        <w:rPr>
          <w:rFonts w:cs="Arial"/>
          <w:color w:val="000000"/>
          <w:szCs w:val="24"/>
        </w:rPr>
        <w:t>; and underwent minor revision in Eleventh Edition.</w:t>
      </w:r>
    </w:p>
    <w:p w:rsidR="00DE4BA1" w:rsidRDefault="00DE4BA1" w:rsidP="00DE4BA1">
      <w:pPr>
        <w:autoSpaceDE w:val="0"/>
        <w:autoSpaceDN w:val="0"/>
        <w:adjustRightInd w:val="0"/>
        <w:spacing w:after="0"/>
        <w:rPr>
          <w:rFonts w:eastAsiaTheme="majorEastAsia" w:cstheme="majorBidi"/>
          <w:bCs/>
          <w:szCs w:val="24"/>
        </w:rPr>
      </w:pPr>
    </w:p>
    <w:p w:rsidR="00F01625" w:rsidRPr="00237BC4" w:rsidRDefault="00814DAA" w:rsidP="004F3B2E">
      <w:pPr>
        <w:autoSpaceDE w:val="0"/>
        <w:autoSpaceDN w:val="0"/>
        <w:adjustRightInd w:val="0"/>
        <w:spacing w:after="0"/>
        <w:rPr>
          <w:rFonts w:eastAsiaTheme="majorEastAsia" w:cstheme="majorBidi"/>
          <w:bCs/>
          <w:szCs w:val="24"/>
        </w:rPr>
      </w:pPr>
      <w:r>
        <w:rPr>
          <w:rFonts w:eastAsiaTheme="majorEastAsia" w:cstheme="majorBidi"/>
          <w:b/>
          <w:bCs/>
          <w:sz w:val="26"/>
        </w:rPr>
        <w:t>D</w:t>
      </w:r>
      <w:r w:rsidR="008F5647">
        <w:rPr>
          <w:rFonts w:eastAsiaTheme="majorEastAsia" w:cstheme="majorBidi"/>
          <w:b/>
          <w:bCs/>
          <w:sz w:val="26"/>
        </w:rPr>
        <w:t>ECISION</w:t>
      </w:r>
    </w:p>
    <w:p w:rsidR="00FB0EED" w:rsidRPr="00FB0EED" w:rsidRDefault="00DE4BA1" w:rsidP="00FB0EED">
      <w:pPr>
        <w:autoSpaceDE w:val="0"/>
        <w:autoSpaceDN w:val="0"/>
        <w:adjustRightInd w:val="0"/>
        <w:spacing w:after="0"/>
        <w:rPr>
          <w:rFonts w:cs="Arial"/>
          <w:color w:val="000000"/>
          <w:szCs w:val="24"/>
        </w:rPr>
      </w:pPr>
      <w:r w:rsidRPr="00DE4BA1">
        <w:rPr>
          <w:rFonts w:cs="Arial"/>
          <w:b/>
          <w:bCs/>
          <w:color w:val="000000"/>
          <w:szCs w:val="24"/>
        </w:rPr>
        <w:t>The instruction to assign Z53</w:t>
      </w:r>
      <w:proofErr w:type="gramStart"/>
      <w:r w:rsidRPr="00DE4BA1">
        <w:rPr>
          <w:rFonts w:cs="Arial"/>
          <w:b/>
          <w:bCs/>
          <w:color w:val="000000"/>
          <w:szCs w:val="24"/>
        </w:rPr>
        <w:t>.-</w:t>
      </w:r>
      <w:proofErr w:type="gramEnd"/>
      <w:r w:rsidRPr="00DE4BA1">
        <w:rPr>
          <w:rFonts w:cs="Arial"/>
          <w:b/>
          <w:bCs/>
          <w:color w:val="000000"/>
          <w:szCs w:val="24"/>
        </w:rPr>
        <w:t xml:space="preserve"> </w:t>
      </w:r>
      <w:r w:rsidR="00DA6E3F" w:rsidRPr="00DA6E3F">
        <w:rPr>
          <w:rFonts w:cs="Arial"/>
          <w:b/>
          <w:i/>
          <w:color w:val="000000"/>
          <w:szCs w:val="24"/>
        </w:rPr>
        <w:t xml:space="preserve">Persons encountering health services for specific procedures, not carried out </w:t>
      </w:r>
      <w:r w:rsidR="00DA6E3F">
        <w:rPr>
          <w:rFonts w:cs="Arial"/>
          <w:b/>
          <w:bCs/>
          <w:color w:val="000000"/>
          <w:szCs w:val="24"/>
        </w:rPr>
        <w:t>is only applicable to obstetric/perineal lacerations/grazes.</w:t>
      </w:r>
      <w:r w:rsidRPr="00DE4BA1">
        <w:rPr>
          <w:rFonts w:cs="Arial"/>
          <w:b/>
          <w:bCs/>
          <w:color w:val="000000"/>
          <w:szCs w:val="24"/>
        </w:rPr>
        <w:t xml:space="preserve"> </w:t>
      </w:r>
      <w:r w:rsidR="00FB0EED">
        <w:rPr>
          <w:rFonts w:cs="Arial"/>
          <w:color w:val="000000"/>
          <w:szCs w:val="24"/>
        </w:rPr>
        <w:br/>
      </w:r>
    </w:p>
    <w:p w:rsidR="00F2531A" w:rsidRPr="00B65E1B" w:rsidRDefault="00F2531A" w:rsidP="00F2531A">
      <w:bookmarkStart w:id="0" w:name="_GoBack"/>
      <w:r w:rsidRPr="000E200C">
        <w:t>This advice has a minor modificati</w:t>
      </w:r>
      <w:r>
        <w:t xml:space="preserve">on to correspond with an update in </w:t>
      </w:r>
      <w:r w:rsidRPr="000E200C">
        <w:t>ICD-10-AM/ACHI/ACS</w:t>
      </w:r>
      <w:r>
        <w:t xml:space="preserve"> Eleventh Edition</w:t>
      </w:r>
      <w:r w:rsidRPr="000E200C">
        <w:t>. </w:t>
      </w:r>
    </w:p>
    <w:bookmarkEnd w:id="0"/>
    <w:p w:rsidR="00814DAA" w:rsidRDefault="00F2531A" w:rsidP="004F3B2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4F3B2E">
        <w:rPr>
          <w:sz w:val="20"/>
          <w:szCs w:val="20"/>
        </w:rPr>
        <w:t xml:space="preserve">[Effective </w:t>
      </w:r>
      <w:r w:rsidR="00DE4BA1">
        <w:rPr>
          <w:sz w:val="20"/>
          <w:szCs w:val="20"/>
        </w:rPr>
        <w:t>1 July</w:t>
      </w:r>
      <w:r w:rsidR="004F3B2E">
        <w:rPr>
          <w:sz w:val="20"/>
          <w:szCs w:val="20"/>
        </w:rPr>
        <w:t xml:space="preserve"> 20</w:t>
      </w:r>
      <w:r w:rsidR="00DE4BA1">
        <w:rPr>
          <w:sz w:val="20"/>
          <w:szCs w:val="20"/>
        </w:rPr>
        <w:t>13</w:t>
      </w:r>
      <w:r w:rsidR="004A4869">
        <w:rPr>
          <w:sz w:val="20"/>
          <w:szCs w:val="20"/>
        </w:rPr>
        <w:t xml:space="preserve">, ICD-10-AM/ACHI/ACS </w:t>
      </w:r>
      <w:r w:rsidR="00DE4BA1">
        <w:rPr>
          <w:sz w:val="20"/>
          <w:szCs w:val="20"/>
        </w:rPr>
        <w:t>8</w:t>
      </w:r>
      <w:r w:rsidR="002E6B74" w:rsidRPr="00621D8E">
        <w:rPr>
          <w:sz w:val="20"/>
          <w:szCs w:val="20"/>
          <w:vertAlign w:val="superscript"/>
        </w:rPr>
        <w:t>th</w:t>
      </w:r>
      <w:r w:rsidR="00A67090" w:rsidRPr="00621D8E">
        <w:rPr>
          <w:sz w:val="20"/>
          <w:szCs w:val="20"/>
        </w:rPr>
        <w:t xml:space="preserve"> Ed.]</w:t>
      </w:r>
      <w:proofErr w:type="gramEnd"/>
    </w:p>
    <w:p w:rsidR="001654A6" w:rsidRDefault="001654A6" w:rsidP="0026305D">
      <w:pPr>
        <w:rPr>
          <w:sz w:val="20"/>
          <w:szCs w:val="20"/>
        </w:rPr>
      </w:pPr>
    </w:p>
    <w:p w:rsidR="001654A6" w:rsidRDefault="001654A6" w:rsidP="0026305D">
      <w:pPr>
        <w:rPr>
          <w:sz w:val="20"/>
          <w:szCs w:val="20"/>
        </w:rPr>
      </w:pPr>
    </w:p>
    <w:p w:rsidR="001654A6" w:rsidRDefault="001654A6" w:rsidP="0026305D">
      <w:pPr>
        <w:rPr>
          <w:sz w:val="20"/>
          <w:szCs w:val="20"/>
        </w:rPr>
      </w:pPr>
    </w:p>
    <w:p w:rsidR="001654A6" w:rsidRDefault="001654A6" w:rsidP="0026305D">
      <w:pPr>
        <w:rPr>
          <w:sz w:val="20"/>
          <w:szCs w:val="20"/>
        </w:rPr>
      </w:pPr>
    </w:p>
    <w:p w:rsidR="001654A6" w:rsidRDefault="001654A6" w:rsidP="0026305D">
      <w:pPr>
        <w:rPr>
          <w:sz w:val="20"/>
          <w:szCs w:val="20"/>
        </w:rPr>
      </w:pPr>
    </w:p>
    <w:p w:rsidR="001654A6" w:rsidRDefault="001654A6" w:rsidP="0026305D">
      <w:pPr>
        <w:rPr>
          <w:sz w:val="20"/>
          <w:szCs w:val="20"/>
        </w:rPr>
      </w:pPr>
    </w:p>
    <w:p w:rsidR="001654A6" w:rsidRDefault="001654A6" w:rsidP="0026305D">
      <w:pPr>
        <w:rPr>
          <w:sz w:val="20"/>
          <w:szCs w:val="20"/>
        </w:rPr>
      </w:pPr>
    </w:p>
    <w:sectPr w:rsidR="001654A6" w:rsidSect="001654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680" w:bottom="1843" w:left="680" w:header="392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92" w:rsidRDefault="00EA0D92" w:rsidP="0013662A">
      <w:pPr>
        <w:spacing w:after="0"/>
      </w:pPr>
      <w:r>
        <w:separator/>
      </w:r>
    </w:p>
  </w:endnote>
  <w:endnote w:type="continuationSeparator" w:id="0">
    <w:p w:rsidR="00EA0D92" w:rsidRDefault="00EA0D92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94" w:rsidRDefault="001654A6">
    <w:pPr>
      <w:pStyle w:val="Footer"/>
      <w:rPr>
        <w:sz w:val="18"/>
      </w:rPr>
    </w:pPr>
    <w:r>
      <w:rPr>
        <w:rFonts w:cs="Arial"/>
        <w:sz w:val="18"/>
      </w:rPr>
      <w:t>Page 2 of 3</w:t>
    </w:r>
    <w:r w:rsidR="00F46694">
      <w:rPr>
        <w:rFonts w:cs="Arial"/>
        <w:sz w:val="18"/>
      </w:rPr>
      <w:br/>
    </w:r>
    <w:r w:rsidR="00F46694" w:rsidRPr="00031FDF">
      <w:rPr>
        <w:rFonts w:cs="Arial"/>
        <w:sz w:val="18"/>
      </w:rPr>
      <w:t>©</w:t>
    </w:r>
    <w:r w:rsidR="00F46694">
      <w:rPr>
        <w:sz w:val="18"/>
      </w:rPr>
      <w:t xml:space="preserve"> Department of Health WA 2018</w:t>
    </w:r>
  </w:p>
  <w:p w:rsidR="00F46694" w:rsidRDefault="00F466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94" w:rsidRDefault="00F46694">
    <w:pPr>
      <w:pStyle w:val="Footer"/>
      <w:rPr>
        <w:sz w:val="18"/>
      </w:rPr>
    </w:pPr>
    <w:r>
      <w:rPr>
        <w:rFonts w:cs="Arial"/>
        <w:sz w:val="18"/>
      </w:rPr>
      <w:t>Page 3 of 3</w:t>
    </w:r>
    <w:r>
      <w:rPr>
        <w:rFonts w:cs="Arial"/>
        <w:sz w:val="18"/>
      </w:rPr>
      <w:br/>
    </w:r>
    <w:r w:rsidRPr="00031FDF">
      <w:rPr>
        <w:rFonts w:cs="Arial"/>
        <w:sz w:val="18"/>
      </w:rPr>
      <w:t>©</w:t>
    </w:r>
    <w:r>
      <w:rPr>
        <w:sz w:val="18"/>
      </w:rPr>
      <w:t xml:space="preserve"> Department of Health WA 2018</w:t>
    </w:r>
  </w:p>
  <w:p w:rsidR="00F46694" w:rsidRDefault="00F466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19" w:rsidRPr="00192A3B" w:rsidRDefault="00F46694">
    <w:pPr>
      <w:pStyle w:val="Footer"/>
      <w:rPr>
        <w:sz w:val="18"/>
      </w:rPr>
    </w:pPr>
    <w:r w:rsidRPr="00192A3B">
      <w:rPr>
        <w:noProof/>
        <w:sz w:val="18"/>
        <w:lang w:eastAsia="en-AU"/>
      </w:rPr>
      <w:drawing>
        <wp:anchor distT="0" distB="0" distL="114300" distR="114300" simplePos="0" relativeHeight="251668992" behindDoc="1" locked="0" layoutInCell="1" allowOverlap="1" wp14:anchorId="531B94F6" wp14:editId="642E7D61">
          <wp:simplePos x="0" y="0"/>
          <wp:positionH relativeFrom="page">
            <wp:posOffset>300990</wp:posOffset>
          </wp:positionH>
          <wp:positionV relativeFrom="page">
            <wp:posOffset>300990</wp:posOffset>
          </wp:positionV>
          <wp:extent cx="7560000" cy="106920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" t="-35" r="-36" b="-35"/>
                  <a:stretch/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E19" w:rsidRPr="00192A3B">
      <w:rPr>
        <w:noProof/>
        <w:sz w:val="18"/>
        <w:lang w:eastAsia="en-AU"/>
      </w:rPr>
      <w:drawing>
        <wp:anchor distT="0" distB="0" distL="114300" distR="114300" simplePos="0" relativeHeight="251664896" behindDoc="1" locked="0" layoutInCell="1" allowOverlap="1" wp14:anchorId="668CCE2C" wp14:editId="42CE6951">
          <wp:simplePos x="0" y="0"/>
          <wp:positionH relativeFrom="page">
            <wp:posOffset>148856</wp:posOffset>
          </wp:positionH>
          <wp:positionV relativeFrom="page">
            <wp:posOffset>148856</wp:posOffset>
          </wp:positionV>
          <wp:extent cx="7560000" cy="10692000"/>
          <wp:effectExtent l="0" t="0" r="317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" t="-35" r="-36" b="-35"/>
                  <a:stretch/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7E19" w:rsidRPr="007320DD" w:rsidRDefault="004F3B2E" w:rsidP="007320DD">
    <w:pPr>
      <w:pStyle w:val="Footer"/>
      <w:rPr>
        <w:sz w:val="18"/>
      </w:rPr>
    </w:pPr>
    <w:r>
      <w:rPr>
        <w:rFonts w:cs="Arial"/>
        <w:sz w:val="18"/>
      </w:rPr>
      <w:t>Page 1 of 1</w:t>
    </w:r>
    <w:r w:rsidR="007320DD">
      <w:rPr>
        <w:rFonts w:cs="Arial"/>
        <w:sz w:val="18"/>
      </w:rPr>
      <w:br/>
    </w:r>
    <w:r w:rsidR="007320DD" w:rsidRPr="00031FDF">
      <w:rPr>
        <w:rFonts w:cs="Arial"/>
        <w:sz w:val="18"/>
      </w:rPr>
      <w:t>©</w:t>
    </w:r>
    <w:r w:rsidR="000C21E1">
      <w:rPr>
        <w:sz w:val="18"/>
      </w:rPr>
      <w:t xml:space="preserve"> Department of Health WA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92" w:rsidRDefault="00EA0D92" w:rsidP="0013662A">
      <w:pPr>
        <w:spacing w:after="0"/>
      </w:pPr>
      <w:r>
        <w:separator/>
      </w:r>
    </w:p>
  </w:footnote>
  <w:footnote w:type="continuationSeparator" w:id="0">
    <w:p w:rsidR="00EA0D92" w:rsidRDefault="00EA0D92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94" w:rsidRPr="009F7E87" w:rsidRDefault="00F46694" w:rsidP="00F46694">
    <w:pPr>
      <w:pStyle w:val="Header"/>
      <w:tabs>
        <w:tab w:val="clear" w:pos="4513"/>
        <w:tab w:val="clear" w:pos="9026"/>
        <w:tab w:val="left" w:pos="0"/>
      </w:tabs>
      <w:jc w:val="right"/>
      <w:rPr>
        <w:rFonts w:cs="Arial"/>
      </w:rPr>
    </w:pPr>
    <w:r w:rsidRPr="00192A3B">
      <w:rPr>
        <w:noProof/>
        <w:sz w:val="18"/>
        <w:lang w:eastAsia="en-AU"/>
      </w:rPr>
      <w:drawing>
        <wp:anchor distT="0" distB="0" distL="114300" distR="114300" simplePos="0" relativeHeight="251675136" behindDoc="1" locked="0" layoutInCell="1" allowOverlap="1" wp14:anchorId="7E331983" wp14:editId="0966A710">
          <wp:simplePos x="0" y="0"/>
          <wp:positionH relativeFrom="page">
            <wp:posOffset>-3810</wp:posOffset>
          </wp:positionH>
          <wp:positionV relativeFrom="page">
            <wp:posOffset>6350</wp:posOffset>
          </wp:positionV>
          <wp:extent cx="7559675" cy="10691495"/>
          <wp:effectExtent l="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" t="-35" r="-36" b="-35"/>
                  <a:stretch/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9F7E87">
      <w:rPr>
        <w:rFonts w:cs="Arial"/>
        <w:sz w:val="16"/>
        <w:szCs w:val="16"/>
      </w:rPr>
      <w:t>WA Coding Rules are a requirement of the Clinical Coding Policy MP0056/17</w:t>
    </w:r>
  </w:p>
  <w:p w:rsidR="00F46694" w:rsidRDefault="00F46694" w:rsidP="00F46694">
    <w:pPr>
      <w:pStyle w:val="Header"/>
      <w:tabs>
        <w:tab w:val="clear" w:pos="4513"/>
        <w:tab w:val="clear" w:pos="9026"/>
        <w:tab w:val="left" w:pos="663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94" w:rsidRPr="00826A3E" w:rsidRDefault="00534D8E" w:rsidP="00F46694">
    <w:pPr>
      <w:pStyle w:val="Header"/>
      <w:tabs>
        <w:tab w:val="clear" w:pos="4513"/>
        <w:tab w:val="clear" w:pos="9026"/>
        <w:tab w:val="left" w:pos="0"/>
      </w:tabs>
      <w:jc w:val="right"/>
      <w:rPr>
        <w:rFonts w:cs="Arial"/>
      </w:rPr>
    </w:pPr>
    <w:r w:rsidRPr="00534D8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AFB04E0" wp14:editId="7AF6DC37">
              <wp:simplePos x="0" y="0"/>
              <wp:positionH relativeFrom="column">
                <wp:posOffset>45085</wp:posOffset>
              </wp:positionH>
              <wp:positionV relativeFrom="paragraph">
                <wp:posOffset>3711575</wp:posOffset>
              </wp:positionV>
              <wp:extent cx="6721475" cy="964565"/>
              <wp:effectExtent l="0" t="1581150" r="0" b="1569085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800000">
                        <a:off x="0" y="0"/>
                        <a:ext cx="6721475" cy="964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34D8E" w:rsidRPr="006B6651" w:rsidRDefault="00534D8E" w:rsidP="00534D8E">
                          <w:pPr>
                            <w:pStyle w:val="Footer"/>
                            <w:rPr>
                              <w:b/>
                              <w:noProof/>
                              <w:color w:val="FFFFFF" w:themeColor="background2"/>
                              <w:sz w:val="144"/>
                              <w:szCs w:val="144"/>
                              <w14:textOutline w14:w="12700" w14:cap="flat" w14:cmpd="sng" w14:algn="ctr">
                                <w14:solidFill>
                                  <w14:schemeClr w14:val="bg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6B6651">
                            <w:rPr>
                              <w:b/>
                              <w:noProof/>
                              <w:color w:val="FFFFFF" w:themeColor="background2"/>
                              <w:sz w:val="144"/>
                              <w:szCs w:val="144"/>
                              <w14:textOutline w14:w="12700" w14:cap="flat" w14:cmpd="sng" w14:algn="ctr">
                                <w14:solidFill>
                                  <w14:schemeClr w14:val="bg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SUPERSEDED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3.55pt;margin-top:292.25pt;width:529.25pt;height:75.95pt;rotation:-3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" filled="f" stroked="f">
              <v:textbox>
                <w:txbxContent>
                  <w:p w:rsidR="00534D8E" w:rsidRPr="006B6651" w:rsidRDefault="00534D8E" w:rsidP="00534D8E">
                    <w:pPr>
                      <w:pStyle w:val="Footer"/>
                      <w:rPr>
                        <w:b/>
                        <w:noProof/>
                        <w:color w:val="FFFFFF" w:themeColor="background2"/>
                        <w:sz w:val="144"/>
                        <w:szCs w:val="144"/>
                        <w14:textOutline w14:w="12700" w14:cap="flat" w14:cmpd="sng" w14:algn="ctr">
                          <w14:solidFill>
                            <w14:schemeClr w14:val="bg1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6B6651">
                      <w:rPr>
                        <w:b/>
                        <w:noProof/>
                        <w:color w:val="FFFFFF" w:themeColor="background2"/>
                        <w:sz w:val="144"/>
                        <w:szCs w:val="144"/>
                        <w14:textOutline w14:w="12700" w14:cap="flat" w14:cmpd="sng" w14:algn="ctr">
                          <w14:solidFill>
                            <w14:schemeClr w14:val="bg1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SUPERSEDED</w:t>
                    </w:r>
                  </w:p>
                </w:txbxContent>
              </v:textbox>
            </v:shape>
          </w:pict>
        </mc:Fallback>
      </mc:AlternateContent>
    </w:r>
    <w:r w:rsidR="00F46694" w:rsidRPr="00192A3B">
      <w:rPr>
        <w:noProof/>
        <w:sz w:val="18"/>
        <w:lang w:eastAsia="en-AU"/>
      </w:rPr>
      <w:drawing>
        <wp:anchor distT="0" distB="0" distL="114300" distR="114300" simplePos="0" relativeHeight="251673088" behindDoc="1" locked="0" layoutInCell="1" allowOverlap="1" wp14:anchorId="6B6B17D3" wp14:editId="067DDE96">
          <wp:simplePos x="0" y="0"/>
          <wp:positionH relativeFrom="page">
            <wp:posOffset>17145</wp:posOffset>
          </wp:positionH>
          <wp:positionV relativeFrom="page">
            <wp:posOffset>-13970</wp:posOffset>
          </wp:positionV>
          <wp:extent cx="7559675" cy="10691495"/>
          <wp:effectExtent l="0" t="0" r="317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" t="-35" r="-36" b="-35"/>
                  <a:stretch/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694">
      <w:tab/>
    </w:r>
    <w:r w:rsidR="00F46694" w:rsidRPr="00826A3E">
      <w:rPr>
        <w:rFonts w:cs="Arial"/>
        <w:sz w:val="16"/>
        <w:szCs w:val="16"/>
      </w:rPr>
      <w:t>WA Coding Rules are a requirement of the Clinical Coding Policy MP0056/17</w:t>
    </w:r>
  </w:p>
  <w:p w:rsidR="00F46694" w:rsidRPr="00826A3E" w:rsidRDefault="00F46694" w:rsidP="00F46694">
    <w:pPr>
      <w:pStyle w:val="Header"/>
      <w:tabs>
        <w:tab w:val="clear" w:pos="4513"/>
        <w:tab w:val="clear" w:pos="9026"/>
        <w:tab w:val="left" w:pos="8506"/>
      </w:tabs>
      <w:rPr>
        <w:rFonts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94" w:rsidRPr="00826A3E" w:rsidRDefault="00F46694" w:rsidP="00F46694">
    <w:pPr>
      <w:pStyle w:val="Header"/>
      <w:tabs>
        <w:tab w:val="clear" w:pos="4513"/>
        <w:tab w:val="clear" w:pos="9026"/>
        <w:tab w:val="left" w:pos="0"/>
      </w:tabs>
      <w:jc w:val="right"/>
      <w:rPr>
        <w:rFonts w:cs="Arial"/>
      </w:rPr>
    </w:pPr>
    <w:r w:rsidRPr="00192A3B">
      <w:rPr>
        <w:noProof/>
        <w:sz w:val="18"/>
        <w:lang w:eastAsia="en-AU"/>
      </w:rPr>
      <w:drawing>
        <wp:anchor distT="0" distB="0" distL="114300" distR="114300" simplePos="0" relativeHeight="251671040" behindDoc="1" locked="0" layoutInCell="1" allowOverlap="1" wp14:anchorId="25D0C762" wp14:editId="557DB87E">
          <wp:simplePos x="0" y="0"/>
          <wp:positionH relativeFrom="page">
            <wp:posOffset>20955</wp:posOffset>
          </wp:positionH>
          <wp:positionV relativeFrom="page">
            <wp:posOffset>10728325</wp:posOffset>
          </wp:positionV>
          <wp:extent cx="7559675" cy="10999470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" t="-35" r="-36" b="-35"/>
                  <a:stretch/>
                </pic:blipFill>
                <pic:spPr bwMode="auto">
                  <a:xfrm>
                    <a:off x="0" y="0"/>
                    <a:ext cx="7559675" cy="10999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A3E">
      <w:rPr>
        <w:rFonts w:cs="Arial"/>
        <w:sz w:val="16"/>
        <w:szCs w:val="16"/>
      </w:rPr>
      <w:t>WA Coding Rules are a requirement of the Clinical Coding Policy MP0056/17</w:t>
    </w:r>
  </w:p>
  <w:p w:rsidR="00F46694" w:rsidRDefault="00F46694" w:rsidP="00F46694">
    <w:pPr>
      <w:pStyle w:val="Header"/>
      <w:tabs>
        <w:tab w:val="clear" w:pos="4513"/>
        <w:tab w:val="clear" w:pos="9026"/>
        <w:tab w:val="left" w:pos="716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65C8"/>
    <w:multiLevelType w:val="hybridMultilevel"/>
    <w:tmpl w:val="7B7EF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D1C83"/>
    <w:multiLevelType w:val="hybridMultilevel"/>
    <w:tmpl w:val="1826D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47F34"/>
    <w:multiLevelType w:val="hybridMultilevel"/>
    <w:tmpl w:val="A89E5DD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43AD0550"/>
    <w:multiLevelType w:val="hybridMultilevel"/>
    <w:tmpl w:val="A522B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57741"/>
    <w:multiLevelType w:val="hybridMultilevel"/>
    <w:tmpl w:val="B8C63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5B6C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evenAndOddHeaders/>
  <w:drawingGridHorizontalSpacing w:val="142"/>
  <w:drawingGridVerticalSpacing w:val="14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080F"/>
    <w:rsid w:val="000244A9"/>
    <w:rsid w:val="0004440A"/>
    <w:rsid w:val="00044FB2"/>
    <w:rsid w:val="000702E5"/>
    <w:rsid w:val="00074DCE"/>
    <w:rsid w:val="000817F3"/>
    <w:rsid w:val="000C21E1"/>
    <w:rsid w:val="000D0872"/>
    <w:rsid w:val="000E042A"/>
    <w:rsid w:val="000F0CC5"/>
    <w:rsid w:val="000F42AA"/>
    <w:rsid w:val="000F7DC5"/>
    <w:rsid w:val="0012030B"/>
    <w:rsid w:val="001262DB"/>
    <w:rsid w:val="00130226"/>
    <w:rsid w:val="00131ADD"/>
    <w:rsid w:val="0013662A"/>
    <w:rsid w:val="001437E0"/>
    <w:rsid w:val="00151C87"/>
    <w:rsid w:val="001654A6"/>
    <w:rsid w:val="00171B7B"/>
    <w:rsid w:val="0018469A"/>
    <w:rsid w:val="00192A3B"/>
    <w:rsid w:val="001C7D1F"/>
    <w:rsid w:val="001D09DD"/>
    <w:rsid w:val="001D0CC5"/>
    <w:rsid w:val="001D4058"/>
    <w:rsid w:val="001D7D67"/>
    <w:rsid w:val="001F6030"/>
    <w:rsid w:val="001F68E9"/>
    <w:rsid w:val="00204A27"/>
    <w:rsid w:val="00220E8F"/>
    <w:rsid w:val="00225EF5"/>
    <w:rsid w:val="00232283"/>
    <w:rsid w:val="00237BC4"/>
    <w:rsid w:val="00243D0F"/>
    <w:rsid w:val="00256BC7"/>
    <w:rsid w:val="0026305D"/>
    <w:rsid w:val="002807E6"/>
    <w:rsid w:val="00291E9A"/>
    <w:rsid w:val="002975B2"/>
    <w:rsid w:val="002A05E0"/>
    <w:rsid w:val="002B627E"/>
    <w:rsid w:val="002C4F5D"/>
    <w:rsid w:val="002C7D7D"/>
    <w:rsid w:val="002D6DE5"/>
    <w:rsid w:val="002D7E19"/>
    <w:rsid w:val="002E14FA"/>
    <w:rsid w:val="002E1DEE"/>
    <w:rsid w:val="002E5F5B"/>
    <w:rsid w:val="002E6B74"/>
    <w:rsid w:val="0030145C"/>
    <w:rsid w:val="003102E6"/>
    <w:rsid w:val="00317FAE"/>
    <w:rsid w:val="003218F0"/>
    <w:rsid w:val="0033590E"/>
    <w:rsid w:val="003436E9"/>
    <w:rsid w:val="003460C8"/>
    <w:rsid w:val="00352771"/>
    <w:rsid w:val="00355004"/>
    <w:rsid w:val="00360564"/>
    <w:rsid w:val="00364831"/>
    <w:rsid w:val="00375036"/>
    <w:rsid w:val="003903BB"/>
    <w:rsid w:val="00390B98"/>
    <w:rsid w:val="003929E7"/>
    <w:rsid w:val="003B0379"/>
    <w:rsid w:val="003E2C45"/>
    <w:rsid w:val="004608AE"/>
    <w:rsid w:val="0046514D"/>
    <w:rsid w:val="00466DB9"/>
    <w:rsid w:val="00471692"/>
    <w:rsid w:val="00483052"/>
    <w:rsid w:val="0048595A"/>
    <w:rsid w:val="00486BF4"/>
    <w:rsid w:val="00492C70"/>
    <w:rsid w:val="004A4869"/>
    <w:rsid w:val="004A609E"/>
    <w:rsid w:val="004B6385"/>
    <w:rsid w:val="004C2780"/>
    <w:rsid w:val="004C27CB"/>
    <w:rsid w:val="004C6976"/>
    <w:rsid w:val="004F2258"/>
    <w:rsid w:val="004F2CEA"/>
    <w:rsid w:val="004F3B2E"/>
    <w:rsid w:val="004F5139"/>
    <w:rsid w:val="005109F9"/>
    <w:rsid w:val="00521D1A"/>
    <w:rsid w:val="005279E5"/>
    <w:rsid w:val="00534D8E"/>
    <w:rsid w:val="005450DC"/>
    <w:rsid w:val="00557CED"/>
    <w:rsid w:val="00561527"/>
    <w:rsid w:val="00561857"/>
    <w:rsid w:val="0056716B"/>
    <w:rsid w:val="00597A85"/>
    <w:rsid w:val="005A2242"/>
    <w:rsid w:val="005A3B0F"/>
    <w:rsid w:val="005A409E"/>
    <w:rsid w:val="005B317C"/>
    <w:rsid w:val="005B53E3"/>
    <w:rsid w:val="005D455D"/>
    <w:rsid w:val="005D5EED"/>
    <w:rsid w:val="005F72BA"/>
    <w:rsid w:val="0060022C"/>
    <w:rsid w:val="00621D8E"/>
    <w:rsid w:val="00643C8B"/>
    <w:rsid w:val="0066520F"/>
    <w:rsid w:val="00687EA9"/>
    <w:rsid w:val="00697E4E"/>
    <w:rsid w:val="006A069A"/>
    <w:rsid w:val="006A747B"/>
    <w:rsid w:val="006B1A85"/>
    <w:rsid w:val="006B26DA"/>
    <w:rsid w:val="006F1E2D"/>
    <w:rsid w:val="006F52D0"/>
    <w:rsid w:val="00712394"/>
    <w:rsid w:val="00715E5D"/>
    <w:rsid w:val="007320DD"/>
    <w:rsid w:val="007472BD"/>
    <w:rsid w:val="00753150"/>
    <w:rsid w:val="0077027C"/>
    <w:rsid w:val="0077159E"/>
    <w:rsid w:val="00772FC6"/>
    <w:rsid w:val="00777224"/>
    <w:rsid w:val="00794DF0"/>
    <w:rsid w:val="007B7F86"/>
    <w:rsid w:val="007C2E33"/>
    <w:rsid w:val="007C4AF5"/>
    <w:rsid w:val="007D25AC"/>
    <w:rsid w:val="007D3AE7"/>
    <w:rsid w:val="007D793C"/>
    <w:rsid w:val="007E66ED"/>
    <w:rsid w:val="007E6E8E"/>
    <w:rsid w:val="007F2BC8"/>
    <w:rsid w:val="00814DAA"/>
    <w:rsid w:val="00825E48"/>
    <w:rsid w:val="00826A3E"/>
    <w:rsid w:val="00832820"/>
    <w:rsid w:val="008662B3"/>
    <w:rsid w:val="00866475"/>
    <w:rsid w:val="00866FBD"/>
    <w:rsid w:val="00875D6E"/>
    <w:rsid w:val="00881846"/>
    <w:rsid w:val="00882643"/>
    <w:rsid w:val="0088715A"/>
    <w:rsid w:val="0089171E"/>
    <w:rsid w:val="00897837"/>
    <w:rsid w:val="008B4828"/>
    <w:rsid w:val="008B7C1A"/>
    <w:rsid w:val="008C6F0A"/>
    <w:rsid w:val="008E3665"/>
    <w:rsid w:val="008E65CB"/>
    <w:rsid w:val="008F5647"/>
    <w:rsid w:val="008F7FE4"/>
    <w:rsid w:val="00911A89"/>
    <w:rsid w:val="00924A62"/>
    <w:rsid w:val="0092508E"/>
    <w:rsid w:val="009268E4"/>
    <w:rsid w:val="00930DF8"/>
    <w:rsid w:val="00933CEB"/>
    <w:rsid w:val="0096131E"/>
    <w:rsid w:val="0096423E"/>
    <w:rsid w:val="009668ED"/>
    <w:rsid w:val="00971124"/>
    <w:rsid w:val="00972C71"/>
    <w:rsid w:val="00981DA1"/>
    <w:rsid w:val="00987AE5"/>
    <w:rsid w:val="00990D6C"/>
    <w:rsid w:val="009B0844"/>
    <w:rsid w:val="009E73C4"/>
    <w:rsid w:val="009F1421"/>
    <w:rsid w:val="00A00D1F"/>
    <w:rsid w:val="00A0309F"/>
    <w:rsid w:val="00A129F6"/>
    <w:rsid w:val="00A34A32"/>
    <w:rsid w:val="00A46D7C"/>
    <w:rsid w:val="00A57035"/>
    <w:rsid w:val="00A67090"/>
    <w:rsid w:val="00A7187D"/>
    <w:rsid w:val="00A75FFC"/>
    <w:rsid w:val="00A81C8A"/>
    <w:rsid w:val="00A85EA8"/>
    <w:rsid w:val="00A91C4C"/>
    <w:rsid w:val="00A96B7D"/>
    <w:rsid w:val="00AA1620"/>
    <w:rsid w:val="00AA7AA7"/>
    <w:rsid w:val="00AF0C79"/>
    <w:rsid w:val="00AF2157"/>
    <w:rsid w:val="00B02BD8"/>
    <w:rsid w:val="00B14720"/>
    <w:rsid w:val="00B17ECC"/>
    <w:rsid w:val="00B414C2"/>
    <w:rsid w:val="00B66A8B"/>
    <w:rsid w:val="00B85FD3"/>
    <w:rsid w:val="00BB5682"/>
    <w:rsid w:val="00BC1855"/>
    <w:rsid w:val="00BC1A19"/>
    <w:rsid w:val="00BC36EF"/>
    <w:rsid w:val="00BD41EB"/>
    <w:rsid w:val="00BD7C33"/>
    <w:rsid w:val="00BE3975"/>
    <w:rsid w:val="00BE3C2D"/>
    <w:rsid w:val="00BE69E6"/>
    <w:rsid w:val="00BE7ED3"/>
    <w:rsid w:val="00BF4252"/>
    <w:rsid w:val="00C15712"/>
    <w:rsid w:val="00C7143D"/>
    <w:rsid w:val="00C729CE"/>
    <w:rsid w:val="00C83154"/>
    <w:rsid w:val="00CA2E0E"/>
    <w:rsid w:val="00CA71C8"/>
    <w:rsid w:val="00CB29D3"/>
    <w:rsid w:val="00CB2F9A"/>
    <w:rsid w:val="00CB5F7F"/>
    <w:rsid w:val="00CC17EE"/>
    <w:rsid w:val="00CC5A53"/>
    <w:rsid w:val="00CD33AF"/>
    <w:rsid w:val="00CF2778"/>
    <w:rsid w:val="00CF64E2"/>
    <w:rsid w:val="00D065E1"/>
    <w:rsid w:val="00D147D4"/>
    <w:rsid w:val="00D1515E"/>
    <w:rsid w:val="00D24A51"/>
    <w:rsid w:val="00D2547E"/>
    <w:rsid w:val="00D47B91"/>
    <w:rsid w:val="00D50CA4"/>
    <w:rsid w:val="00D636EE"/>
    <w:rsid w:val="00D9301F"/>
    <w:rsid w:val="00D949EA"/>
    <w:rsid w:val="00D953BF"/>
    <w:rsid w:val="00DA6E3F"/>
    <w:rsid w:val="00DB6F4B"/>
    <w:rsid w:val="00DD22D0"/>
    <w:rsid w:val="00DE35FB"/>
    <w:rsid w:val="00DE4BA1"/>
    <w:rsid w:val="00DE4BFE"/>
    <w:rsid w:val="00E21B04"/>
    <w:rsid w:val="00E40563"/>
    <w:rsid w:val="00E47483"/>
    <w:rsid w:val="00E71C82"/>
    <w:rsid w:val="00E73E11"/>
    <w:rsid w:val="00E775B0"/>
    <w:rsid w:val="00E974DA"/>
    <w:rsid w:val="00EA0D92"/>
    <w:rsid w:val="00EC2ECE"/>
    <w:rsid w:val="00ED399A"/>
    <w:rsid w:val="00ED6931"/>
    <w:rsid w:val="00EE0AC3"/>
    <w:rsid w:val="00EF0E55"/>
    <w:rsid w:val="00F01625"/>
    <w:rsid w:val="00F11A1D"/>
    <w:rsid w:val="00F2531A"/>
    <w:rsid w:val="00F26894"/>
    <w:rsid w:val="00F31B78"/>
    <w:rsid w:val="00F46694"/>
    <w:rsid w:val="00F47961"/>
    <w:rsid w:val="00F57F31"/>
    <w:rsid w:val="00F61C88"/>
    <w:rsid w:val="00F647BD"/>
    <w:rsid w:val="00F66611"/>
    <w:rsid w:val="00F76BD0"/>
    <w:rsid w:val="00F907E6"/>
    <w:rsid w:val="00FA1BD9"/>
    <w:rsid w:val="00FB0EED"/>
    <w:rsid w:val="00FB50A2"/>
    <w:rsid w:val="00FB61DE"/>
    <w:rsid w:val="00FE14FF"/>
    <w:rsid w:val="00FF0D8D"/>
    <w:rsid w:val="00FF19AF"/>
    <w:rsid w:val="00FF4D87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05B6C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05B6C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05B6C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05B6C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05B6C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05B6C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04350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05B6C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5B6C" w:themeColor="accent1"/>
        <w:left w:val="single" w:sz="8" w:space="0" w:color="005B6C" w:themeColor="accent1"/>
        <w:bottom w:val="single" w:sz="8" w:space="0" w:color="005B6C" w:themeColor="accent1"/>
        <w:right w:val="single" w:sz="8" w:space="0" w:color="005B6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04350" w:themeColor="accent1" w:themeShade="BF"/>
    </w:rPr>
    <w:tblPr>
      <w:tblStyleRowBandSize w:val="1"/>
      <w:tblStyleColBandSize w:val="1"/>
      <w:tblBorders>
        <w:top w:val="single" w:sz="8" w:space="0" w:color="005B6C" w:themeColor="accent1"/>
        <w:bottom w:val="single" w:sz="8" w:space="0" w:color="005B6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5B6C" w:themeColor="accent1"/>
        <w:left w:val="single" w:sz="8" w:space="0" w:color="005B6C" w:themeColor="accent1"/>
        <w:bottom w:val="single" w:sz="8" w:space="0" w:color="005B6C" w:themeColor="accent1"/>
        <w:right w:val="single" w:sz="8" w:space="0" w:color="005B6C" w:themeColor="accent1"/>
        <w:insideH w:val="single" w:sz="8" w:space="0" w:color="005B6C" w:themeColor="accent1"/>
        <w:insideV w:val="single" w:sz="8" w:space="0" w:color="005B6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1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  <w:shd w:val="clear" w:color="auto" w:fill="9BEFFF" w:themeFill="accent1" w:themeFillTint="3F"/>
      </w:tcPr>
    </w:tblStylePr>
    <w:tblStylePr w:type="band2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05B6C" w:themeColor="accent1"/>
          <w:left w:val="single" w:sz="8" w:space="0" w:color="005B6C" w:themeColor="accent1"/>
          <w:bottom w:val="single" w:sz="1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  <w:shd w:val="clear" w:color="auto" w:fill="005B6C" w:themeFill="accent2"/>
      </w:tcPr>
    </w:tblStylePr>
    <w:tblStylePr w:type="band2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AFD0" w:themeColor="accent1" w:themeTint="BF"/>
        <w:left w:val="single" w:sz="8" w:space="0" w:color="00AFD0" w:themeColor="accent1" w:themeTint="BF"/>
        <w:bottom w:val="single" w:sz="8" w:space="0" w:color="00AFD0" w:themeColor="accent1" w:themeTint="BF"/>
        <w:right w:val="single" w:sz="8" w:space="0" w:color="00AFD0" w:themeColor="accent1" w:themeTint="BF"/>
        <w:insideH w:val="single" w:sz="8" w:space="0" w:color="00AF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E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05B6C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B6C" w:themeColor="accent1"/>
        <w:bottom w:val="single" w:sz="8" w:space="0" w:color="005B6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B6C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shd w:val="clear" w:color="auto" w:fill="9BEFFF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05B6C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shd w:val="clear" w:color="auto" w:fill="005B6C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5B6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B6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6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B6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05B6C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B6C" w:themeColor="accent1"/>
        <w:left w:val="single" w:sz="8" w:space="0" w:color="005B6C" w:themeColor="accent1"/>
        <w:bottom w:val="single" w:sz="8" w:space="0" w:color="005B6C" w:themeColor="accent1"/>
        <w:right w:val="single" w:sz="8" w:space="0" w:color="005B6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B6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B6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6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B6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E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Default">
    <w:name w:val="Default"/>
    <w:rsid w:val="00243D0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B482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4828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B482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B4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4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82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4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828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05B6C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05B6C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05B6C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05B6C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05B6C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05B6C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04350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05B6C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5B6C" w:themeColor="accent1"/>
        <w:left w:val="single" w:sz="8" w:space="0" w:color="005B6C" w:themeColor="accent1"/>
        <w:bottom w:val="single" w:sz="8" w:space="0" w:color="005B6C" w:themeColor="accent1"/>
        <w:right w:val="single" w:sz="8" w:space="0" w:color="005B6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04350" w:themeColor="accent1" w:themeShade="BF"/>
    </w:rPr>
    <w:tblPr>
      <w:tblStyleRowBandSize w:val="1"/>
      <w:tblStyleColBandSize w:val="1"/>
      <w:tblBorders>
        <w:top w:val="single" w:sz="8" w:space="0" w:color="005B6C" w:themeColor="accent1"/>
        <w:bottom w:val="single" w:sz="8" w:space="0" w:color="005B6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5B6C" w:themeColor="accent1"/>
        <w:left w:val="single" w:sz="8" w:space="0" w:color="005B6C" w:themeColor="accent1"/>
        <w:bottom w:val="single" w:sz="8" w:space="0" w:color="005B6C" w:themeColor="accent1"/>
        <w:right w:val="single" w:sz="8" w:space="0" w:color="005B6C" w:themeColor="accent1"/>
        <w:insideH w:val="single" w:sz="8" w:space="0" w:color="005B6C" w:themeColor="accent1"/>
        <w:insideV w:val="single" w:sz="8" w:space="0" w:color="005B6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1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  <w:shd w:val="clear" w:color="auto" w:fill="9BEFFF" w:themeFill="accent1" w:themeFillTint="3F"/>
      </w:tcPr>
    </w:tblStylePr>
    <w:tblStylePr w:type="band2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05B6C" w:themeColor="accent1"/>
          <w:left w:val="single" w:sz="8" w:space="0" w:color="005B6C" w:themeColor="accent1"/>
          <w:bottom w:val="single" w:sz="1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  <w:shd w:val="clear" w:color="auto" w:fill="005B6C" w:themeFill="accent2"/>
      </w:tcPr>
    </w:tblStylePr>
    <w:tblStylePr w:type="band2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AFD0" w:themeColor="accent1" w:themeTint="BF"/>
        <w:left w:val="single" w:sz="8" w:space="0" w:color="00AFD0" w:themeColor="accent1" w:themeTint="BF"/>
        <w:bottom w:val="single" w:sz="8" w:space="0" w:color="00AFD0" w:themeColor="accent1" w:themeTint="BF"/>
        <w:right w:val="single" w:sz="8" w:space="0" w:color="00AFD0" w:themeColor="accent1" w:themeTint="BF"/>
        <w:insideH w:val="single" w:sz="8" w:space="0" w:color="00AF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E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05B6C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B6C" w:themeColor="accent1"/>
        <w:bottom w:val="single" w:sz="8" w:space="0" w:color="005B6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B6C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shd w:val="clear" w:color="auto" w:fill="9BEFFF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05B6C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shd w:val="clear" w:color="auto" w:fill="005B6C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5B6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B6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6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B6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05B6C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B6C" w:themeColor="accent1"/>
        <w:left w:val="single" w:sz="8" w:space="0" w:color="005B6C" w:themeColor="accent1"/>
        <w:bottom w:val="single" w:sz="8" w:space="0" w:color="005B6C" w:themeColor="accent1"/>
        <w:right w:val="single" w:sz="8" w:space="0" w:color="005B6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B6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B6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6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B6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E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Default">
    <w:name w:val="Default"/>
    <w:rsid w:val="00243D0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B482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4828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B482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B4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4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82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4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82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qua PMS 315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05B6C"/>
      </a:accent1>
      <a:accent2>
        <a:srgbClr val="005B6C"/>
      </a:accent2>
      <a:accent3>
        <a:srgbClr val="005B6C"/>
      </a:accent3>
      <a:accent4>
        <a:srgbClr val="005B6C"/>
      </a:accent4>
      <a:accent5>
        <a:srgbClr val="005B6C"/>
      </a:accent5>
      <a:accent6>
        <a:srgbClr val="005B6C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9230-05C5-441D-9F92-D7F44156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 Coding Rule 0613/05 	Z53 code instruction in ACS 1551 Obstetric perineal lacerations/grazes</vt:lpstr>
    </vt:vector>
  </TitlesOfParts>
  <Company>WA Health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 Coding Rule 0613/05 	Z53 code instruction in ACS 1551 Obstetric perineal lacerations/grazes</dc:title>
  <dc:creator>WA Clinical Coding Authority</dc:creator>
  <cp:keywords>Z53, perineal, tear, laceration, 1551</cp:keywords>
  <cp:lastModifiedBy>Romaro, Claire</cp:lastModifiedBy>
  <cp:revision>2</cp:revision>
  <cp:lastPrinted>2018-03-06T01:31:00Z</cp:lastPrinted>
  <dcterms:created xsi:type="dcterms:W3CDTF">2019-09-23T23:56:00Z</dcterms:created>
  <dcterms:modified xsi:type="dcterms:W3CDTF">2019-09-23T23:56:00Z</dcterms:modified>
</cp:coreProperties>
</file>