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266" w:rsidRDefault="00C6252C" w:rsidP="001F6030">
      <w:r w:rsidRPr="006F36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F64F52" wp14:editId="244DB6DC">
                <wp:simplePos x="0" y="0"/>
                <wp:positionH relativeFrom="column">
                  <wp:posOffset>-1351280</wp:posOffset>
                </wp:positionH>
                <wp:positionV relativeFrom="paragraph">
                  <wp:posOffset>-175260</wp:posOffset>
                </wp:positionV>
                <wp:extent cx="8340725" cy="3816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0725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36F0" w:rsidRPr="0090693F" w:rsidRDefault="006F36F0" w:rsidP="006F36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65E9C" w:themeColor="text2"/>
                                <w:sz w:val="34"/>
                                <w:szCs w:val="34"/>
                              </w:rPr>
                            </w:pPr>
                            <w:r w:rsidRPr="00243C14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OzFoodNet Ente</w:t>
                            </w:r>
                            <w:r w:rsidR="002A1586" w:rsidRPr="00243C14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ric Disease Surveillance Report </w:t>
                            </w:r>
                            <w:r w:rsidR="00243C14" w:rsidRPr="00243C14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2</w:t>
                            </w:r>
                            <w:r w:rsidR="00243C14" w:rsidRPr="00243C14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  <w:vertAlign w:val="superscript"/>
                              </w:rPr>
                              <w:t>nd</w:t>
                            </w:r>
                            <w:r w:rsidR="00243C14" w:rsidRPr="00243C14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243C14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Quarter 2019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64F5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106.4pt;margin-top:-13.8pt;width:656.75pt;height:3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" filled="f" stroked="f">
                <v:textbox>
                  <w:txbxContent>
                    <w:p w:rsidR="006F36F0" w:rsidRPr="0090693F" w:rsidRDefault="006F36F0" w:rsidP="006F36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65E9C" w:themeColor="text2"/>
                          <w:sz w:val="34"/>
                          <w:szCs w:val="34"/>
                        </w:rPr>
                      </w:pPr>
                      <w:r w:rsidRPr="00243C14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OzFoodNet Ente</w:t>
                      </w:r>
                      <w:r w:rsidR="002A1586" w:rsidRPr="00243C14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ric Disease Surveillance Report </w:t>
                      </w:r>
                      <w:r w:rsidR="00243C14" w:rsidRPr="00243C14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2</w:t>
                      </w:r>
                      <w:r w:rsidR="00243C14" w:rsidRPr="00243C14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  <w:vertAlign w:val="superscript"/>
                        </w:rPr>
                        <w:t>nd</w:t>
                      </w:r>
                      <w:r w:rsidR="00243C14" w:rsidRPr="00243C14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Pr="00243C14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Quarter 2019</w:t>
                      </w:r>
                    </w:p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CE6FE" wp14:editId="70E68CA4">
                <wp:simplePos x="0" y="0"/>
                <wp:positionH relativeFrom="column">
                  <wp:posOffset>-565150</wp:posOffset>
                </wp:positionH>
                <wp:positionV relativeFrom="paragraph">
                  <wp:posOffset>205740</wp:posOffset>
                </wp:positionV>
                <wp:extent cx="6867525" cy="946150"/>
                <wp:effectExtent l="0" t="0" r="952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946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0EF" w:rsidRPr="00243C14" w:rsidRDefault="00926467">
                            <w:pP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14">
                              <w:rPr>
                                <w:rFonts w:eastAsia="Calibri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report describes enteric disease surveillance and investigations carried out during the </w:t>
                            </w:r>
                            <w:r w:rsidR="00243C14" w:rsidRPr="00243C14">
                              <w:rPr>
                                <w:rFonts w:eastAsia="Calibri" w:cs="Arial"/>
                                <w:color w:val="000000" w:themeColor="text1"/>
                                <w:sz w:val="20"/>
                                <w:szCs w:val="20"/>
                              </w:rPr>
                              <w:t>second</w:t>
                            </w:r>
                            <w:r w:rsidRPr="00243C14">
                              <w:rPr>
                                <w:rFonts w:eastAsia="Calibri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quarter of 201</w:t>
                            </w:r>
                            <w:r w:rsidR="00243C14" w:rsidRPr="00243C14">
                              <w:rPr>
                                <w:rFonts w:eastAsia="Calibri" w:cs="Arial"/>
                                <w:color w:val="000000" w:themeColor="text1"/>
                                <w:sz w:val="20"/>
                                <w:szCs w:val="20"/>
                              </w:rPr>
                              <w:t>9 (2</w:t>
                            </w:r>
                            <w:r w:rsidR="00D050EF" w:rsidRPr="00243C14">
                              <w:rPr>
                                <w:rFonts w:eastAsia="Calibri" w:cs="Arial"/>
                                <w:color w:val="000000" w:themeColor="text1"/>
                                <w:sz w:val="20"/>
                                <w:szCs w:val="20"/>
                              </w:rPr>
                              <w:t>Q19)</w:t>
                            </w:r>
                            <w:r w:rsidRPr="00243C14">
                              <w:rPr>
                                <w:rFonts w:eastAsia="Calibri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by OzFoodNet WA in conjunction with other Western Australian Department of Health agencies and local governments.</w:t>
                            </w:r>
                            <w:r w:rsidRPr="00243C14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F36F0" w:rsidRPr="00BB48D3" w:rsidRDefault="00926467">
                            <w:pPr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</w:pPr>
                            <w:r w:rsidRPr="00243C14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Some of the increase in notifications is likely to be due to the introduction of polymerase chain reaction (PCR) testing of faecal specimens which has greater sensitivity than culture techniques.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CE6FE" id="Text Box 2" o:spid="_x0000_s1027" type="#_x0000_t202" style="position:absolute;margin-left:-44.5pt;margin-top:16.2pt;width:540.75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" fillcolor="#d7dded [671]" stroked="f">
                <v:textbox>
                  <w:txbxContent>
                    <w:p w:rsidR="00D050EF" w:rsidRPr="00243C14" w:rsidRDefault="00926467">
                      <w:pPr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43C14">
                        <w:rPr>
                          <w:rFonts w:eastAsia="Calibri" w:cs="Arial"/>
                          <w:color w:val="000000" w:themeColor="text1"/>
                          <w:sz w:val="20"/>
                          <w:szCs w:val="20"/>
                        </w:rPr>
                        <w:t xml:space="preserve">This report describes enteric disease surveillance and investigations carried out during the </w:t>
                      </w:r>
                      <w:r w:rsidR="00243C14" w:rsidRPr="00243C14">
                        <w:rPr>
                          <w:rFonts w:eastAsia="Calibri" w:cs="Arial"/>
                          <w:color w:val="000000" w:themeColor="text1"/>
                          <w:sz w:val="20"/>
                          <w:szCs w:val="20"/>
                        </w:rPr>
                        <w:t>second</w:t>
                      </w:r>
                      <w:r w:rsidRPr="00243C14">
                        <w:rPr>
                          <w:rFonts w:eastAsia="Calibri" w:cs="Arial"/>
                          <w:color w:val="000000" w:themeColor="text1"/>
                          <w:sz w:val="20"/>
                          <w:szCs w:val="20"/>
                        </w:rPr>
                        <w:t xml:space="preserve"> quarter of 201</w:t>
                      </w:r>
                      <w:r w:rsidR="00243C14" w:rsidRPr="00243C14">
                        <w:rPr>
                          <w:rFonts w:eastAsia="Calibri" w:cs="Arial"/>
                          <w:color w:val="000000" w:themeColor="text1"/>
                          <w:sz w:val="20"/>
                          <w:szCs w:val="20"/>
                        </w:rPr>
                        <w:t>9 (2</w:t>
                      </w:r>
                      <w:r w:rsidR="00D050EF" w:rsidRPr="00243C14">
                        <w:rPr>
                          <w:rFonts w:eastAsia="Calibri" w:cs="Arial"/>
                          <w:color w:val="000000" w:themeColor="text1"/>
                          <w:sz w:val="20"/>
                          <w:szCs w:val="20"/>
                        </w:rPr>
                        <w:t>Q19)</w:t>
                      </w:r>
                      <w:r w:rsidRPr="00243C14">
                        <w:rPr>
                          <w:rFonts w:eastAsia="Calibri" w:cs="Arial"/>
                          <w:color w:val="000000" w:themeColor="text1"/>
                          <w:sz w:val="20"/>
                          <w:szCs w:val="20"/>
                        </w:rPr>
                        <w:t xml:space="preserve"> by OzFoodNet WA in conjunction with other Western Australian Department of Health agencies and local governments.</w:t>
                      </w:r>
                      <w:r w:rsidRPr="00243C14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F36F0" w:rsidRPr="00BB48D3" w:rsidRDefault="00926467">
                      <w:pPr>
                        <w:rPr>
                          <w:rFonts w:cs="Arial"/>
                          <w:color w:val="000000" w:themeColor="text1"/>
                          <w:szCs w:val="24"/>
                        </w:rPr>
                      </w:pPr>
                      <w:r w:rsidRPr="00243C14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>Some of the increase in notifications is likely to be due to the introduction of polymerase chain reaction (PCR) testing of faecal specimens which has greater sensitivity than culture techniques.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FC2612">
        <w:rPr>
          <w:noProof/>
          <w:color w:val="899BCA" w:themeColor="text2" w:themeTint="99"/>
          <w:sz w:val="44"/>
          <w:szCs w:val="44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AE5EC5" wp14:editId="57769AAF">
                <wp:simplePos x="0" y="0"/>
                <wp:positionH relativeFrom="column">
                  <wp:posOffset>4831715</wp:posOffset>
                </wp:positionH>
                <wp:positionV relativeFrom="paragraph">
                  <wp:posOffset>-591820</wp:posOffset>
                </wp:positionV>
                <wp:extent cx="1884045" cy="321945"/>
                <wp:effectExtent l="0" t="0" r="1905" b="190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586" w:rsidRPr="002A3F93" w:rsidRDefault="002A1586" w:rsidP="002A158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Enhancing foodborne disease surveillance a</w:t>
                            </w:r>
                            <w:r w:rsidRPr="002A3F93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cross Australia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5EC5" id="Text Box 7" o:spid="_x0000_s1028" type="#_x0000_t202" style="position:absolute;margin-left:380.45pt;margin-top:-46.6pt;width:148.35pt;height:2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" stroked="f">
                <v:textbox inset=".5mm,.3mm,.5mm,.3mm">
                  <w:txbxContent>
                    <w:p w:rsidR="002A1586" w:rsidRPr="002A3F93" w:rsidRDefault="002A1586" w:rsidP="002A158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Enhancing foodborne disease surveillance a</w:t>
                      </w:r>
                      <w:r w:rsidRPr="002A3F93">
                        <w:rPr>
                          <w:rFonts w:cs="Arial"/>
                          <w:b/>
                          <w:sz w:val="18"/>
                          <w:szCs w:val="18"/>
                        </w:rPr>
                        <w:t>cross Australia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5504C9">
        <w:rPr>
          <w:noProof/>
          <w:lang w:eastAsia="en-AU"/>
        </w:rPr>
        <w:drawing>
          <wp:anchor distT="0" distB="0" distL="114300" distR="114300" simplePos="0" relativeHeight="251701248" behindDoc="0" locked="0" layoutInCell="1" allowOverlap="1" wp14:anchorId="7C1913B9" wp14:editId="69168C7A">
            <wp:simplePos x="0" y="0"/>
            <wp:positionH relativeFrom="column">
              <wp:posOffset>3977640</wp:posOffset>
            </wp:positionH>
            <wp:positionV relativeFrom="paragraph">
              <wp:posOffset>-720090</wp:posOffset>
            </wp:positionV>
            <wp:extent cx="837565" cy="53213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E9">
        <w:rPr>
          <w:noProof/>
          <w:lang w:eastAsia="en-AU"/>
        </w:rPr>
        <w:drawing>
          <wp:anchor distT="0" distB="0" distL="114300" distR="114300" simplePos="0" relativeHeight="251699200" behindDoc="0" locked="0" layoutInCell="1" allowOverlap="1" wp14:anchorId="2118104B" wp14:editId="3335DD45">
            <wp:simplePos x="0" y="0"/>
            <wp:positionH relativeFrom="column">
              <wp:posOffset>-786765</wp:posOffset>
            </wp:positionH>
            <wp:positionV relativeFrom="paragraph">
              <wp:posOffset>-632984</wp:posOffset>
            </wp:positionV>
            <wp:extent cx="2423160" cy="445135"/>
            <wp:effectExtent l="0" t="0" r="0" b="0"/>
            <wp:wrapNone/>
            <wp:docPr id="2" name="Picture 2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266" w:rsidRDefault="00E842C2">
      <w:pPr>
        <w:spacing w:after="200" w:line="276" w:lineRule="auto"/>
      </w:pPr>
      <w:r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2B4D09" wp14:editId="26374CDB">
                <wp:simplePos x="0" y="0"/>
                <wp:positionH relativeFrom="column">
                  <wp:posOffset>-564078</wp:posOffset>
                </wp:positionH>
                <wp:positionV relativeFrom="paragraph">
                  <wp:posOffset>8082956</wp:posOffset>
                </wp:positionV>
                <wp:extent cx="6852285" cy="495943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495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6D" w:rsidRPr="00BE50E9" w:rsidRDefault="00E842C2" w:rsidP="00BE50E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70DA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Appendix 1 </w:t>
                            </w:r>
                            <w:r w:rsidRPr="00B70DAF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Enteric diseases by public health region:</w:t>
                            </w:r>
                            <w:r w:rsidRPr="00B70DAF">
                              <w:rPr>
                                <w:rFonts w:ascii="Calibri" w:hAnsi="Calibri"/>
                                <w:color w:val="005B38"/>
                                <w:sz w:val="14"/>
                              </w:rPr>
                              <w:t xml:space="preserve"> </w:t>
                            </w:r>
                            <w:hyperlink r:id="rId10" w:history="1">
                              <w:r w:rsidRPr="00A33601">
                                <w:rPr>
                                  <w:rStyle w:val="Hyperlink"/>
                                  <w:rFonts w:ascii="Calibri" w:hAnsi="Calibri"/>
                                  <w:sz w:val="16"/>
                                </w:rPr>
                                <w:t>https://ww2.health.wa.gov.au/~/media/Files/Corporate/general%20documents/Infectious%20diseases/Word/OzFoodNet/WA-OzFoodnet-appendix1-2019-Q2.doc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B4D09" id="Text Box 21" o:spid="_x0000_s1029" type="#_x0000_t202" style="position:absolute;margin-left:-44.4pt;margin-top:636.45pt;width:539.55pt;height:3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" filled="f" stroked="f" strokeweight=".5pt">
                <v:textbox>
                  <w:txbxContent>
                    <w:p w:rsidR="0066016D" w:rsidRPr="00BE50E9" w:rsidRDefault="00E842C2" w:rsidP="00BE50E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70DAF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Appendix 1 </w:t>
                      </w:r>
                      <w:r w:rsidRPr="00B70DAF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Enteric diseases by public health region:</w:t>
                      </w:r>
                      <w:r w:rsidRPr="00B70DAF">
                        <w:rPr>
                          <w:rFonts w:ascii="Calibri" w:hAnsi="Calibri"/>
                          <w:color w:val="005B38"/>
                          <w:sz w:val="14"/>
                        </w:rPr>
                        <w:t xml:space="preserve"> </w:t>
                      </w:r>
                      <w:hyperlink r:id="rId11" w:history="1">
                        <w:r w:rsidRPr="00A33601">
                          <w:rPr>
                            <w:rStyle w:val="Hyperlink"/>
                            <w:rFonts w:ascii="Calibri" w:hAnsi="Calibri"/>
                            <w:sz w:val="16"/>
                          </w:rPr>
                          <w:t>https://ww2.health.wa.gov.au/~/media/Files/Corporate/general%20documents/Infectious%20diseases/Word/OzFoodNet/WA-OzFoodnet-appendix1-2019-Q2.doc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453BF">
        <w:rPr>
          <w:noProof/>
          <w:lang w:eastAsia="en-AU"/>
        </w:rPr>
        <w:drawing>
          <wp:anchor distT="0" distB="0" distL="114300" distR="114300" simplePos="0" relativeHeight="251714560" behindDoc="0" locked="0" layoutInCell="1" allowOverlap="1" wp14:anchorId="0A4F3F6B" wp14:editId="1D40B142">
            <wp:simplePos x="0" y="0"/>
            <wp:positionH relativeFrom="column">
              <wp:posOffset>267195</wp:posOffset>
            </wp:positionH>
            <wp:positionV relativeFrom="paragraph">
              <wp:posOffset>4407543</wp:posOffset>
            </wp:positionV>
            <wp:extent cx="4827319" cy="3712077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914" cy="371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225">
        <w:rPr>
          <w:noProof/>
          <w:lang w:eastAsia="en-AU"/>
        </w:rPr>
        <w:drawing>
          <wp:anchor distT="0" distB="0" distL="114300" distR="114300" simplePos="0" relativeHeight="251713536" behindDoc="0" locked="0" layoutInCell="1" allowOverlap="1" wp14:anchorId="55DCEC18" wp14:editId="175A3AA0">
            <wp:simplePos x="0" y="0"/>
            <wp:positionH relativeFrom="column">
              <wp:posOffset>746843</wp:posOffset>
            </wp:positionH>
            <wp:positionV relativeFrom="paragraph">
              <wp:posOffset>1254650</wp:posOffset>
            </wp:positionV>
            <wp:extent cx="4261899" cy="277326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899" cy="2773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87C0CC" wp14:editId="21FC468D">
                <wp:simplePos x="0" y="0"/>
                <wp:positionH relativeFrom="column">
                  <wp:posOffset>-581025</wp:posOffset>
                </wp:positionH>
                <wp:positionV relativeFrom="paragraph">
                  <wp:posOffset>8582025</wp:posOffset>
                </wp:positionV>
                <wp:extent cx="6885305" cy="52451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C4" w:rsidRPr="0024249E" w:rsidRDefault="00BE50E9" w:rsidP="0024249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</w:t>
                            </w:r>
                            <w:r w:rsidR="00D723C4" w:rsidRPr="0024249E">
                              <w:rPr>
                                <w:sz w:val="16"/>
                              </w:rPr>
      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7C0CC" id="_x0000_s1030" type="#_x0000_t202" style="position:absolute;margin-left:-45.75pt;margin-top:675.75pt;width:542.15pt;height:4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" filled="f" stroked="f">
                <v:textbox>
                  <w:txbxContent>
                    <w:p w:rsidR="00D723C4" w:rsidRPr="0024249E" w:rsidRDefault="00BE50E9" w:rsidP="0024249E">
                      <w:pPr>
                        <w:rPr>
                          <w:sz w:val="16"/>
                        </w:rPr>
                      </w:pPr>
                      <w:r>
                        <w:rPr>
                          <w:szCs w:val="24"/>
                        </w:rPr>
                        <w:t>*</w:t>
                      </w:r>
                      <w:r w:rsidR="00D723C4" w:rsidRPr="0024249E">
                        <w:rPr>
                          <w:sz w:val="16"/>
                        </w:rPr>
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</w:r>
                    </w:p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34C82" wp14:editId="49FAD86A">
                <wp:simplePos x="0" y="0"/>
                <wp:positionH relativeFrom="column">
                  <wp:posOffset>-580445</wp:posOffset>
                </wp:positionH>
                <wp:positionV relativeFrom="paragraph">
                  <wp:posOffset>4090007</wp:posOffset>
                </wp:positionV>
                <wp:extent cx="6868795" cy="4492487"/>
                <wp:effectExtent l="0" t="0" r="825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449248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266" w:rsidRPr="002A1586" w:rsidRDefault="00F16266" w:rsidP="00F1626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EE38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Change in enteric disease notifications (%)</w:t>
                            </w:r>
                            <w:r w:rsidR="0024249E" w:rsidRPr="00EE38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8"/>
                                <w:szCs w:val="32"/>
                                <w:lang w:eastAsia="en-AU"/>
                              </w:rPr>
                              <w:t>*</w:t>
                            </w:r>
                          </w:p>
                          <w:p w:rsidR="00F16266" w:rsidRDefault="00F16266" w:rsidP="00F162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34C82" id="_x0000_s1031" type="#_x0000_t202" style="position:absolute;margin-left:-45.7pt;margin-top:322.05pt;width:540.85pt;height:3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" fillcolor="#d7dded [671]" stroked="f">
                <v:fill opacity="32896f"/>
                <v:textbox>
                  <w:txbxContent>
                    <w:p w:rsidR="00F16266" w:rsidRPr="002A1586" w:rsidRDefault="00F16266" w:rsidP="00F1626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EE38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Change in enteric disease notifications (%)</w:t>
                      </w:r>
                      <w:r w:rsidR="0024249E" w:rsidRPr="00EE38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8"/>
                          <w:szCs w:val="32"/>
                          <w:lang w:eastAsia="en-AU"/>
                        </w:rPr>
                        <w:t>*</w:t>
                      </w:r>
                    </w:p>
                    <w:p w:rsidR="00F16266" w:rsidRDefault="00F16266" w:rsidP="00F16266"/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D3566" wp14:editId="28064A32">
                <wp:simplePos x="0" y="0"/>
                <wp:positionH relativeFrom="column">
                  <wp:posOffset>-564543</wp:posOffset>
                </wp:positionH>
                <wp:positionV relativeFrom="paragraph">
                  <wp:posOffset>1004901</wp:posOffset>
                </wp:positionV>
                <wp:extent cx="6867525" cy="2949575"/>
                <wp:effectExtent l="0" t="0" r="952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94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6F0" w:rsidRPr="002A1586" w:rsidRDefault="006F36F0" w:rsidP="00F162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65E9C" w:themeColor="text2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243C1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Most common enteric di</w:t>
                            </w:r>
                            <w:r w:rsidR="00243C14" w:rsidRPr="00243C1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sease notifications in Quarter 2</w:t>
                            </w:r>
                            <w:r w:rsidRPr="00243C1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2019</w:t>
                            </w:r>
                          </w:p>
                          <w:p w:rsidR="006F36F0" w:rsidRDefault="006F36F0" w:rsidP="00DC76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D3566" id="_x0000_s1032" type="#_x0000_t202" style="position:absolute;margin-left:-44.45pt;margin-top:79.15pt;width:540.75pt;height:2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" fillcolor="#d7dded [671]" stroked="f">
                <v:fill opacity="32896f"/>
                <v:textbox>
                  <w:txbxContent>
                    <w:p w:rsidR="006F36F0" w:rsidRPr="002A1586" w:rsidRDefault="006F36F0" w:rsidP="00F162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465E9C" w:themeColor="text2"/>
                          <w:sz w:val="32"/>
                          <w:szCs w:val="32"/>
                          <w:lang w:eastAsia="en-AU"/>
                        </w:rPr>
                      </w:pPr>
                      <w:r w:rsidRPr="00243C14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Most common enteric di</w:t>
                      </w:r>
                      <w:r w:rsidR="00243C14" w:rsidRPr="00243C14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sease notifications in Quarter 2</w:t>
                      </w:r>
                      <w:r w:rsidRPr="00243C14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2019</w:t>
                      </w:r>
                    </w:p>
                    <w:p w:rsidR="006F36F0" w:rsidRDefault="006F36F0" w:rsidP="00DC76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266">
        <w:br w:type="page"/>
      </w:r>
    </w:p>
    <w:p w:rsidR="00F16266" w:rsidRPr="008449C2" w:rsidRDefault="008449C2" w:rsidP="009D1723">
      <w:pPr>
        <w:jc w:val="center"/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</w:pPr>
      <w:r w:rsidRPr="00B0277F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lastRenderedPageBreak/>
        <w:t xml:space="preserve">Outbreaks in </w:t>
      </w:r>
      <w:bookmarkStart w:id="0" w:name="_GoBack"/>
      <w:bookmarkEnd w:id="0"/>
      <w:r w:rsidRPr="00B0277F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Quarter </w:t>
      </w:r>
      <w:r w:rsidR="00A45954" w:rsidRPr="00B0277F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2</w:t>
      </w:r>
      <w:r w:rsidRPr="00B0277F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 2019</w:t>
      </w:r>
    </w:p>
    <w:p w:rsidR="00F16266" w:rsidRPr="00F16266" w:rsidRDefault="00567A00" w:rsidP="00F16266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2826174</wp:posOffset>
            </wp:positionH>
            <wp:positionV relativeFrom="paragraph">
              <wp:posOffset>3179</wp:posOffset>
            </wp:positionV>
            <wp:extent cx="3729889" cy="1581154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46" b="51999"/>
                    <a:stretch/>
                  </pic:blipFill>
                  <pic:spPr bwMode="auto">
                    <a:xfrm>
                      <a:off x="0" y="0"/>
                      <a:ext cx="3729889" cy="158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77F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4E7C90B" wp14:editId="7B188F06">
            <wp:simplePos x="0" y="0"/>
            <wp:positionH relativeFrom="column">
              <wp:posOffset>-881380</wp:posOffset>
            </wp:positionH>
            <wp:positionV relativeFrom="paragraph">
              <wp:posOffset>8586</wp:posOffset>
            </wp:positionV>
            <wp:extent cx="3665220" cy="1558925"/>
            <wp:effectExtent l="0" t="0" r="0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155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266" w:rsidRPr="00F16266" w:rsidRDefault="00F16266" w:rsidP="00F16266"/>
    <w:p w:rsidR="00F16266" w:rsidRPr="00F16266" w:rsidRDefault="00F16266" w:rsidP="00F16266"/>
    <w:p w:rsidR="00F16266" w:rsidRPr="00F16266" w:rsidRDefault="00F16266" w:rsidP="00F16266"/>
    <w:p w:rsidR="00F16266" w:rsidRPr="00F16266" w:rsidRDefault="00F16266" w:rsidP="00F16266"/>
    <w:p w:rsidR="00F16266" w:rsidRPr="00F16266" w:rsidRDefault="00A45954" w:rsidP="00F16266">
      <w:r>
        <w:rPr>
          <w:noProof/>
          <w:lang w:eastAsia="en-AU"/>
        </w:rPr>
        <w:drawing>
          <wp:anchor distT="0" distB="0" distL="114300" distR="114300" simplePos="0" relativeHeight="251650048" behindDoc="0" locked="0" layoutInCell="1" allowOverlap="1" wp14:anchorId="43527CF7" wp14:editId="4E90E55F">
            <wp:simplePos x="0" y="0"/>
            <wp:positionH relativeFrom="column">
              <wp:posOffset>763325</wp:posOffset>
            </wp:positionH>
            <wp:positionV relativeFrom="paragraph">
              <wp:posOffset>216866</wp:posOffset>
            </wp:positionV>
            <wp:extent cx="4381169" cy="1868703"/>
            <wp:effectExtent l="0" t="0" r="63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013" cy="1868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266" w:rsidRPr="00F16266" w:rsidRDefault="00F16266" w:rsidP="00F16266"/>
    <w:p w:rsidR="00F16266" w:rsidRPr="00F16266" w:rsidRDefault="00F16266" w:rsidP="00F16266"/>
    <w:p w:rsidR="00F16266" w:rsidRPr="00F16266" w:rsidRDefault="00F16266" w:rsidP="00F16266"/>
    <w:p w:rsidR="00F16266" w:rsidRDefault="00F16266" w:rsidP="00F16266"/>
    <w:p w:rsidR="00F16266" w:rsidRDefault="00F16266" w:rsidP="00F16266"/>
    <w:p w:rsidR="00F16266" w:rsidRDefault="00F16266" w:rsidP="00F16266">
      <w:pPr>
        <w:ind w:firstLine="720"/>
      </w:pPr>
    </w:p>
    <w:p w:rsidR="00F16266" w:rsidRPr="00F16266" w:rsidRDefault="00E842C2" w:rsidP="00F16266">
      <w:r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C34E21" wp14:editId="62994258">
                <wp:simplePos x="0" y="0"/>
                <wp:positionH relativeFrom="column">
                  <wp:posOffset>-476885</wp:posOffset>
                </wp:positionH>
                <wp:positionV relativeFrom="paragraph">
                  <wp:posOffset>229582</wp:posOffset>
                </wp:positionV>
                <wp:extent cx="6708775" cy="5562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2C2" w:rsidRDefault="00E842C2" w:rsidP="00E842C2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</w:pPr>
                            <w:r w:rsidRPr="00B70DA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Appendix 2</w:t>
                            </w:r>
                            <w:r w:rsidRPr="00B70DAF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 Details of foodborne out</w:t>
                            </w:r>
                            <w:r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breaks investigated in Quarter 2</w:t>
                            </w:r>
                            <w:r w:rsidRPr="00B70DAF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, 2019</w:t>
                            </w:r>
                            <w:r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:</w:t>
                            </w:r>
                          </w:p>
                          <w:p w:rsidR="00E842C2" w:rsidRPr="00B70DAF" w:rsidRDefault="00567A00" w:rsidP="00E842C2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Cs/>
                                <w:kern w:val="24"/>
                                <w:sz w:val="18"/>
                                <w:szCs w:val="32"/>
                                <w:lang w:eastAsia="en-AU"/>
                              </w:rPr>
                            </w:pPr>
                            <w:hyperlink r:id="rId17" w:history="1">
                              <w:r w:rsidR="00E842C2" w:rsidRPr="00A33601">
                                <w:rPr>
                                  <w:rStyle w:val="Hyperlink"/>
                                  <w:rFonts w:ascii="Calibri" w:hAnsi="Calibri"/>
                                  <w:sz w:val="18"/>
                                </w:rPr>
                                <w:t>https://ww2.health.wa.gov.au/~/media/Files/Corporate/general%20documents/Infectious%20diseases/Word/OzFoodNet/WA-OzFoodnet-appendix2-2019-Q2.doc</w:t>
                              </w:r>
                            </w:hyperlink>
                          </w:p>
                          <w:p w:rsidR="00E842C2" w:rsidRDefault="00E842C2" w:rsidP="00E842C2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</w:pPr>
                          </w:p>
                          <w:p w:rsidR="0066016D" w:rsidRPr="00BB48D3" w:rsidRDefault="0066016D" w:rsidP="00BB48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4E21" id="Text Box 23" o:spid="_x0000_s1033" type="#_x0000_t202" style="position:absolute;margin-left:-37.55pt;margin-top:18.1pt;width:528.25pt;height:43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" filled="f" stroked="f" strokeweight=".5pt">
                <v:textbox>
                  <w:txbxContent>
                    <w:p w:rsidR="00E842C2" w:rsidRDefault="00E842C2" w:rsidP="00E842C2">
                      <w:pPr>
                        <w:spacing w:after="0"/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</w:pPr>
                      <w:r w:rsidRPr="00B70DAF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Appendix 2</w:t>
                      </w:r>
                      <w:r w:rsidRPr="00B70DAF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 Details of foodborne out</w:t>
                      </w:r>
                      <w:r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breaks investigated in Quarter 2</w:t>
                      </w:r>
                      <w:r w:rsidRPr="00B70DAF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, 2019</w:t>
                      </w:r>
                      <w:r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:</w:t>
                      </w:r>
                    </w:p>
                    <w:p w:rsidR="00E842C2" w:rsidRPr="00B70DAF" w:rsidRDefault="00567A00" w:rsidP="00E842C2">
                      <w:pPr>
                        <w:spacing w:after="0"/>
                        <w:rPr>
                          <w:rFonts w:ascii="Calibri" w:eastAsia="+mn-ea" w:hAnsi="Calibri" w:cs="+mn-cs"/>
                          <w:bCs/>
                          <w:kern w:val="24"/>
                          <w:sz w:val="18"/>
                          <w:szCs w:val="32"/>
                          <w:lang w:eastAsia="en-AU"/>
                        </w:rPr>
                      </w:pPr>
                      <w:hyperlink r:id="rId18" w:history="1">
                        <w:r w:rsidR="00E842C2" w:rsidRPr="00A33601">
                          <w:rPr>
                            <w:rStyle w:val="Hyperlink"/>
                            <w:rFonts w:ascii="Calibri" w:hAnsi="Calibri"/>
                            <w:sz w:val="18"/>
                          </w:rPr>
                          <w:t>https://ww2.health.wa.gov.au/~/media/Files/Corporate/general%20documents/Infectious%20diseases/Word/OzFoodNet/WA-OzFoodnet-appendix2-2019-Q2.doc</w:t>
                        </w:r>
                      </w:hyperlink>
                    </w:p>
                    <w:p w:rsidR="00E842C2" w:rsidRDefault="00E842C2" w:rsidP="00E842C2">
                      <w:pPr>
                        <w:spacing w:after="0"/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</w:pPr>
                    </w:p>
                    <w:p w:rsidR="0066016D" w:rsidRPr="00BB48D3" w:rsidRDefault="0066016D" w:rsidP="00BB48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6266" w:rsidRPr="00F16266" w:rsidRDefault="00F16266" w:rsidP="00F16266"/>
    <w:p w:rsidR="00F16266" w:rsidRPr="00F16266" w:rsidRDefault="00F16266" w:rsidP="00F16266"/>
    <w:p w:rsidR="00F16266" w:rsidRDefault="00BB48D3" w:rsidP="00F162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90A70EC" wp14:editId="109AD3F2">
                <wp:simplePos x="0" y="0"/>
                <wp:positionH relativeFrom="column">
                  <wp:posOffset>-477520</wp:posOffset>
                </wp:positionH>
                <wp:positionV relativeFrom="paragraph">
                  <wp:posOffset>32385</wp:posOffset>
                </wp:positionV>
                <wp:extent cx="6708775" cy="4826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4826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A73" w:rsidRPr="0090046F" w:rsidRDefault="00F16266" w:rsidP="0012565F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90046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Key trends from Quarter </w:t>
                            </w:r>
                            <w:r w:rsidR="0090046F" w:rsidRPr="0090046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</w:t>
                            </w:r>
                            <w:r w:rsidRPr="0090046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2019</w:t>
                            </w:r>
                          </w:p>
                          <w:p w:rsidR="00D050EF" w:rsidRPr="00931BD5" w:rsidRDefault="00D050EF" w:rsidP="0012565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  <w:p w:rsidR="00BB48D3" w:rsidRPr="00931BD5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color w:val="465E9C"/>
                                <w:sz w:val="20"/>
                                <w:szCs w:val="20"/>
                              </w:rPr>
                            </w:pPr>
                            <w:r w:rsidRPr="00931BD5">
                              <w:rPr>
                                <w:rFonts w:eastAsia="Calibri" w:cs="Times New Roman"/>
                                <w:b/>
                                <w:i/>
                                <w:color w:val="465E9C"/>
                                <w:sz w:val="20"/>
                                <w:szCs w:val="20"/>
                              </w:rPr>
                              <w:t>Salmonella</w:t>
                            </w:r>
                            <w:r w:rsidRPr="00931BD5">
                              <w:rPr>
                                <w:rFonts w:eastAsia="Calibri" w:cs="Times New Roman"/>
                                <w:b/>
                                <w:color w:val="465E9C"/>
                                <w:sz w:val="20"/>
                                <w:szCs w:val="20"/>
                              </w:rPr>
                              <w:t xml:space="preserve"> Typhimurium (STM) MLVA 03-17-09-12-523 </w:t>
                            </w:r>
                          </w:p>
                          <w:p w:rsidR="00BB48D3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5D18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STM MLVA 03-17-09-12-523 has been under investigation since the type emerged in September 2016. From September 20</w:t>
                            </w:r>
                            <w:r w:rsidR="00931BD5" w:rsidRPr="00F25D18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16 to June 2019 there were 1289</w:t>
                            </w:r>
                            <w:r w:rsidRPr="00F25D18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notified</w:t>
                            </w:r>
                            <w:r w:rsidR="00931BD5" w:rsidRPr="00F25D18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, including 103 cases in 2</w:t>
                            </w:r>
                            <w:r w:rsidRPr="00F25D18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Q19. This MLVA type was </w:t>
                            </w:r>
                            <w:r w:rsidRPr="000A14B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the single mos</w:t>
                            </w:r>
                            <w:r w:rsidR="00931BD5" w:rsidRPr="000A14B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 common MLVA type notified in 2</w:t>
                            </w:r>
                            <w:r w:rsidRPr="000A14B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Q19, constituting </w:t>
                            </w:r>
                            <w:r w:rsidRPr="000A14BB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931BD5" w:rsidRPr="000A14BB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9</w:t>
                            </w:r>
                            <w:r w:rsidRPr="000A14BB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%</w:t>
                            </w:r>
                            <w:r w:rsidRPr="000A14B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STM notifications for the quarter. </w:t>
                            </w:r>
                            <w:r w:rsidR="00931BD5" w:rsidRPr="000A14B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Of the 103</w:t>
                            </w:r>
                            <w:r w:rsidRPr="000A14B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cases, </w:t>
                            </w:r>
                            <w:r w:rsidR="000A14BB" w:rsidRPr="000A14B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6 (6</w:t>
                            </w:r>
                            <w:r w:rsidRPr="000A14B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%) were part of </w:t>
                            </w:r>
                            <w:r w:rsidR="00492250" w:rsidRPr="000A14B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two</w:t>
                            </w:r>
                            <w:r w:rsidRPr="000A14B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sepa</w:t>
                            </w:r>
                            <w:r w:rsidR="00492250" w:rsidRPr="000A14B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rate point source </w:t>
                            </w:r>
                            <w:r w:rsidR="00492250" w:rsidRPr="0096744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outbreaks in 2</w:t>
                            </w:r>
                            <w:r w:rsidRPr="0096744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Q19. </w:t>
                            </w:r>
                            <w:r w:rsidR="00967444" w:rsidRPr="0096744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A paella d</w:t>
                            </w:r>
                            <w:r w:rsidR="00967444" w:rsidRPr="0096744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ish</w:t>
                            </w:r>
                            <w:r w:rsidRPr="0096744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7444" w:rsidRPr="0096744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Pr="0096744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implicated in one outbreak; the ve</w:t>
                            </w:r>
                            <w:r w:rsidR="002F24A7" w:rsidRPr="0096744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hicle was unknown in the </w:t>
                            </w:r>
                            <w:r w:rsidR="00D514D4" w:rsidRPr="0096744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other</w:t>
                            </w:r>
                            <w:r w:rsidR="002F24A7" w:rsidRPr="0096744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44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outbreak of this MLVA type.</w:t>
                            </w:r>
                            <w:r w:rsidRPr="00967444">
                              <w:rPr>
                                <w:rFonts w:eastAsia="Calibri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444">
                              <w:rPr>
                                <w:rFonts w:eastAsia="Calibri" w:cs="Times New Roman"/>
                                <w:color w:val="000000"/>
                                <w:sz w:val="20"/>
                                <w:szCs w:val="20"/>
                              </w:rPr>
                              <w:t>Of t</w:t>
                            </w:r>
                            <w:r w:rsidR="004C104B" w:rsidRPr="0096744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he</w:t>
                            </w:r>
                            <w:r w:rsidR="004C104B" w:rsidRPr="00FB1467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remaining 97</w:t>
                            </w:r>
                            <w:r w:rsidRPr="00FB1467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cases, </w:t>
                            </w:r>
                            <w:r w:rsidR="00FB1467" w:rsidRPr="00FB1467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most (88</w:t>
                            </w:r>
                            <w:r w:rsidRPr="00FB1467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%) resided in the Perth metropolitan a</w:t>
                            </w:r>
                            <w:r w:rsidRPr="00C94695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rea. </w:t>
                            </w:r>
                            <w:r w:rsidR="00FB1467" w:rsidRPr="00C94695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Hospitalisation data were</w:t>
                            </w:r>
                            <w:r w:rsidR="00C94695" w:rsidRPr="00C94695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confirmed for 96</w:t>
                            </w:r>
                            <w:r w:rsidRPr="00C94695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community cases; </w:t>
                            </w:r>
                            <w:r w:rsidR="00C94695" w:rsidRPr="00C94695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24</w:t>
                            </w:r>
                            <w:r w:rsidRPr="00C94695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% were hospitalised.</w:t>
                            </w:r>
                            <w:r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050EF" w:rsidRPr="00FC2612" w:rsidRDefault="00F25D18" w:rsidP="00F25D1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DBA0467" wp14:editId="1447E3B3">
                                  <wp:extent cx="5860112" cy="2528515"/>
                                  <wp:effectExtent l="0" t="0" r="0" b="0"/>
                                  <wp:docPr id="5" name="Chart 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0EF" w:rsidRPr="00BB48D3" w:rsidRDefault="00DB0727" w:rsidP="00D050EF">
                            <w:pPr>
                              <w:pStyle w:val="Caption"/>
                              <w:spacing w:line="240" w:lineRule="auto"/>
                              <w:rPr>
                                <w:color w:val="465E9C" w:themeColor="text2"/>
                                <w:sz w:val="20"/>
                              </w:rPr>
                            </w:pPr>
                            <w:r w:rsidRPr="00F25D18">
                              <w:rPr>
                                <w:color w:val="465E9C" w:themeColor="text2"/>
                                <w:sz w:val="20"/>
                              </w:rPr>
                              <w:t>Figure</w:t>
                            </w:r>
                            <w:r w:rsidR="00D050EF" w:rsidRPr="00F25D18">
                              <w:rPr>
                                <w:color w:val="465E9C" w:themeColor="text2"/>
                                <w:sz w:val="20"/>
                              </w:rPr>
                              <w:t xml:space="preserve">: Notifications of </w:t>
                            </w:r>
                            <w:r w:rsidR="00D050EF" w:rsidRPr="00F25D18">
                              <w:rPr>
                                <w:i/>
                                <w:color w:val="465E9C" w:themeColor="text2"/>
                                <w:sz w:val="20"/>
                              </w:rPr>
                              <w:t>Salmonella</w:t>
                            </w:r>
                            <w:r w:rsidR="00D050EF" w:rsidRPr="00F25D18">
                              <w:rPr>
                                <w:color w:val="465E9C" w:themeColor="text2"/>
                                <w:sz w:val="20"/>
                              </w:rPr>
                              <w:t xml:space="preserve"> Typhimurium MLVA 03-17-09-12-523 in WA, 2016 to </w:t>
                            </w:r>
                            <w:r w:rsidR="00F25D18" w:rsidRPr="00F25D18">
                              <w:rPr>
                                <w:color w:val="465E9C" w:themeColor="text2"/>
                                <w:sz w:val="20"/>
                              </w:rPr>
                              <w:t>June</w:t>
                            </w:r>
                            <w:r w:rsidR="00D050EF" w:rsidRPr="00F25D18">
                              <w:rPr>
                                <w:color w:val="465E9C" w:themeColor="text2"/>
                                <w:sz w:val="20"/>
                              </w:rPr>
                              <w:t xml:space="preserve"> 2019</w:t>
                            </w:r>
                          </w:p>
                          <w:p w:rsidR="00256108" w:rsidRPr="0014114D" w:rsidRDefault="00256108" w:rsidP="0087065F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70EC" id="_x0000_s1034" type="#_x0000_t202" style="position:absolute;margin-left:-37.6pt;margin-top:2.55pt;width:528.25pt;height:380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" fillcolor="#d7dded [671]" stroked="f">
                <v:fill opacity="32896f"/>
                <v:textbox>
                  <w:txbxContent>
                    <w:p w:rsidR="00447A73" w:rsidRPr="0090046F" w:rsidRDefault="00F16266" w:rsidP="0012565F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90046F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Key trends from Quarter </w:t>
                      </w:r>
                      <w:r w:rsidR="0090046F" w:rsidRPr="0090046F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</w:t>
                      </w:r>
                      <w:r w:rsidRPr="0090046F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2019</w:t>
                      </w:r>
                    </w:p>
                    <w:p w:rsidR="00D050EF" w:rsidRPr="00931BD5" w:rsidRDefault="00D050EF" w:rsidP="0012565F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32"/>
                          <w:lang w:eastAsia="en-AU"/>
                        </w:rPr>
                      </w:pPr>
                    </w:p>
                    <w:p w:rsidR="00BB48D3" w:rsidRPr="00931BD5" w:rsidRDefault="00BB48D3" w:rsidP="00BB48D3">
                      <w:pPr>
                        <w:rPr>
                          <w:rFonts w:eastAsia="Calibri" w:cs="Times New Roman"/>
                          <w:b/>
                          <w:color w:val="465E9C"/>
                          <w:sz w:val="20"/>
                          <w:szCs w:val="20"/>
                        </w:rPr>
                      </w:pPr>
                      <w:r w:rsidRPr="00931BD5">
                        <w:rPr>
                          <w:rFonts w:eastAsia="Calibri" w:cs="Times New Roman"/>
                          <w:b/>
                          <w:i/>
                          <w:color w:val="465E9C"/>
                          <w:sz w:val="20"/>
                          <w:szCs w:val="20"/>
                        </w:rPr>
                        <w:t>Salmonella</w:t>
                      </w:r>
                      <w:r w:rsidRPr="00931BD5">
                        <w:rPr>
                          <w:rFonts w:eastAsia="Calibri" w:cs="Times New Roman"/>
                          <w:b/>
                          <w:color w:val="465E9C"/>
                          <w:sz w:val="20"/>
                          <w:szCs w:val="20"/>
                        </w:rPr>
                        <w:t xml:space="preserve"> Typhimurium (STM) MLVA 03-17-09-12-523 </w:t>
                      </w:r>
                    </w:p>
                    <w:p w:rsidR="00BB48D3" w:rsidRDefault="00BB48D3" w:rsidP="00BB48D3">
                      <w:pPr>
                        <w:rPr>
                          <w:rFonts w:eastAsia="Calibri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F25D18">
                        <w:rPr>
                          <w:rFonts w:eastAsia="Calibri" w:cs="Times New Roman"/>
                          <w:sz w:val="20"/>
                          <w:szCs w:val="20"/>
                        </w:rPr>
                        <w:t>STM MLVA 03-17-09-12-523 has been under investigation since the type emerged in September 2016. From September 20</w:t>
                      </w:r>
                      <w:r w:rsidR="00931BD5" w:rsidRPr="00F25D18">
                        <w:rPr>
                          <w:rFonts w:eastAsia="Calibri" w:cs="Times New Roman"/>
                          <w:sz w:val="20"/>
                          <w:szCs w:val="20"/>
                        </w:rPr>
                        <w:t>16 to June 2019 there were 1289</w:t>
                      </w:r>
                      <w:r w:rsidRPr="00F25D18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notified</w:t>
                      </w:r>
                      <w:r w:rsidR="00931BD5" w:rsidRPr="00F25D18">
                        <w:rPr>
                          <w:rFonts w:eastAsia="Calibri" w:cs="Times New Roman"/>
                          <w:sz w:val="20"/>
                          <w:szCs w:val="20"/>
                        </w:rPr>
                        <w:t>, including 103 cases in 2</w:t>
                      </w:r>
                      <w:r w:rsidRPr="00F25D18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Q19. This MLVA type was </w:t>
                      </w:r>
                      <w:r w:rsidRPr="000A14BB">
                        <w:rPr>
                          <w:rFonts w:eastAsia="Calibri" w:cs="Times New Roman"/>
                          <w:sz w:val="20"/>
                          <w:szCs w:val="20"/>
                        </w:rPr>
                        <w:t>the single mos</w:t>
                      </w:r>
                      <w:r w:rsidR="00931BD5" w:rsidRPr="000A14BB">
                        <w:rPr>
                          <w:rFonts w:eastAsia="Calibri" w:cs="Times New Roman"/>
                          <w:sz w:val="20"/>
                          <w:szCs w:val="20"/>
                        </w:rPr>
                        <w:t>t common MLVA type notified in 2</w:t>
                      </w:r>
                      <w:r w:rsidRPr="000A14BB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Q19, constituting </w:t>
                      </w:r>
                      <w:r w:rsidRPr="000A14BB">
                        <w:rPr>
                          <w:rFonts w:eastAsia="Calibri" w:cs="Arial"/>
                          <w:sz w:val="20"/>
                          <w:szCs w:val="20"/>
                        </w:rPr>
                        <w:t>3</w:t>
                      </w:r>
                      <w:r w:rsidR="00931BD5" w:rsidRPr="000A14BB">
                        <w:rPr>
                          <w:rFonts w:eastAsia="Calibri" w:cs="Arial"/>
                          <w:sz w:val="20"/>
                          <w:szCs w:val="20"/>
                        </w:rPr>
                        <w:t>9</w:t>
                      </w:r>
                      <w:r w:rsidRPr="000A14BB">
                        <w:rPr>
                          <w:rFonts w:eastAsia="Calibri" w:cs="Arial"/>
                          <w:sz w:val="20"/>
                          <w:szCs w:val="20"/>
                        </w:rPr>
                        <w:t>%</w:t>
                      </w:r>
                      <w:r w:rsidRPr="000A14BB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STM notifications for the quarter. </w:t>
                      </w:r>
                      <w:r w:rsidR="00931BD5" w:rsidRPr="000A14BB">
                        <w:rPr>
                          <w:rFonts w:eastAsia="Calibri" w:cs="Times New Roman"/>
                          <w:sz w:val="20"/>
                          <w:szCs w:val="20"/>
                        </w:rPr>
                        <w:t>Of the 103</w:t>
                      </w:r>
                      <w:r w:rsidRPr="000A14BB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cases, </w:t>
                      </w:r>
                      <w:r w:rsidR="000A14BB" w:rsidRPr="000A14BB">
                        <w:rPr>
                          <w:rFonts w:eastAsia="Calibri" w:cs="Times New Roman"/>
                          <w:sz w:val="20"/>
                          <w:szCs w:val="20"/>
                        </w:rPr>
                        <w:t>6 (6</w:t>
                      </w:r>
                      <w:r w:rsidRPr="000A14BB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%) were part of </w:t>
                      </w:r>
                      <w:r w:rsidR="00492250" w:rsidRPr="000A14BB">
                        <w:rPr>
                          <w:rFonts w:eastAsia="Calibri" w:cs="Times New Roman"/>
                          <w:sz w:val="20"/>
                          <w:szCs w:val="20"/>
                        </w:rPr>
                        <w:t>two</w:t>
                      </w:r>
                      <w:r w:rsidRPr="000A14BB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sepa</w:t>
                      </w:r>
                      <w:r w:rsidR="00492250" w:rsidRPr="000A14BB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rate point source </w:t>
                      </w:r>
                      <w:r w:rsidR="00492250" w:rsidRPr="00967444">
                        <w:rPr>
                          <w:rFonts w:eastAsia="Calibri" w:cs="Times New Roman"/>
                          <w:sz w:val="20"/>
                          <w:szCs w:val="20"/>
                        </w:rPr>
                        <w:t>outbreaks in 2</w:t>
                      </w:r>
                      <w:r w:rsidRPr="0096744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Q19. </w:t>
                      </w:r>
                      <w:r w:rsidR="00967444" w:rsidRPr="00967444">
                        <w:rPr>
                          <w:rFonts w:eastAsia="Calibri" w:cs="Times New Roman"/>
                          <w:sz w:val="20"/>
                          <w:szCs w:val="20"/>
                        </w:rPr>
                        <w:t>A paella d</w:t>
                      </w:r>
                      <w:r w:rsidR="00967444" w:rsidRPr="00967444">
                        <w:rPr>
                          <w:rFonts w:eastAsia="Calibri" w:cs="Arial"/>
                          <w:sz w:val="20"/>
                          <w:szCs w:val="20"/>
                        </w:rPr>
                        <w:t>ish</w:t>
                      </w:r>
                      <w:r w:rsidRPr="00967444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</w:t>
                      </w:r>
                      <w:r w:rsidR="00967444" w:rsidRPr="00967444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was </w:t>
                      </w:r>
                      <w:r w:rsidRPr="00967444">
                        <w:rPr>
                          <w:rFonts w:eastAsia="Calibri" w:cs="Arial"/>
                          <w:sz w:val="20"/>
                          <w:szCs w:val="20"/>
                        </w:rPr>
                        <w:t>implicated in one outbreak; the ve</w:t>
                      </w:r>
                      <w:r w:rsidR="002F24A7" w:rsidRPr="00967444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hicle was unknown in the </w:t>
                      </w:r>
                      <w:r w:rsidR="00D514D4" w:rsidRPr="00967444">
                        <w:rPr>
                          <w:rFonts w:eastAsia="Calibri" w:cs="Arial"/>
                          <w:sz w:val="20"/>
                          <w:szCs w:val="20"/>
                        </w:rPr>
                        <w:t>other</w:t>
                      </w:r>
                      <w:r w:rsidR="002F24A7" w:rsidRPr="00967444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</w:t>
                      </w:r>
                      <w:r w:rsidRPr="00967444">
                        <w:rPr>
                          <w:rFonts w:eastAsia="Calibri" w:cs="Arial"/>
                          <w:sz w:val="20"/>
                          <w:szCs w:val="20"/>
                        </w:rPr>
                        <w:t>outbreak of this MLVA type.</w:t>
                      </w:r>
                      <w:r w:rsidRPr="00967444">
                        <w:rPr>
                          <w:rFonts w:eastAsia="Calibri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67444">
                        <w:rPr>
                          <w:rFonts w:eastAsia="Calibri" w:cs="Times New Roman"/>
                          <w:color w:val="000000"/>
                          <w:sz w:val="20"/>
                          <w:szCs w:val="20"/>
                        </w:rPr>
                        <w:t>Of t</w:t>
                      </w:r>
                      <w:r w:rsidR="004C104B" w:rsidRPr="00967444">
                        <w:rPr>
                          <w:rFonts w:eastAsia="Calibri" w:cs="Arial"/>
                          <w:sz w:val="20"/>
                          <w:szCs w:val="20"/>
                        </w:rPr>
                        <w:t>he</w:t>
                      </w:r>
                      <w:r w:rsidR="004C104B" w:rsidRPr="00FB1467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remaining 97</w:t>
                      </w:r>
                      <w:r w:rsidRPr="00FB1467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cases, </w:t>
                      </w:r>
                      <w:r w:rsidR="00FB1467" w:rsidRPr="00FB1467">
                        <w:rPr>
                          <w:rFonts w:eastAsia="Calibri" w:cs="Arial"/>
                          <w:sz w:val="20"/>
                          <w:szCs w:val="20"/>
                        </w:rPr>
                        <w:t>most (88</w:t>
                      </w:r>
                      <w:r w:rsidRPr="00FB1467">
                        <w:rPr>
                          <w:rFonts w:eastAsia="Calibri" w:cs="Arial"/>
                          <w:sz w:val="20"/>
                          <w:szCs w:val="20"/>
                        </w:rPr>
                        <w:t>%) resided in the Perth metropolitan a</w:t>
                      </w:r>
                      <w:r w:rsidRPr="00C94695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rea. </w:t>
                      </w:r>
                      <w:r w:rsidR="00FB1467" w:rsidRPr="00C94695">
                        <w:rPr>
                          <w:rFonts w:eastAsia="Calibri" w:cs="Arial"/>
                          <w:sz w:val="20"/>
                          <w:szCs w:val="20"/>
                        </w:rPr>
                        <w:t>Hospitalisation data were</w:t>
                      </w:r>
                      <w:r w:rsidR="00C94695" w:rsidRPr="00C94695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confirmed for 96</w:t>
                      </w:r>
                      <w:r w:rsidRPr="00C94695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community cases; </w:t>
                      </w:r>
                      <w:r w:rsidR="00C94695" w:rsidRPr="00C94695">
                        <w:rPr>
                          <w:rFonts w:eastAsia="Calibri" w:cs="Arial"/>
                          <w:sz w:val="20"/>
                          <w:szCs w:val="20"/>
                        </w:rPr>
                        <w:t>24</w:t>
                      </w:r>
                      <w:r w:rsidRPr="00C94695">
                        <w:rPr>
                          <w:rFonts w:eastAsia="Calibri" w:cs="Arial"/>
                          <w:sz w:val="20"/>
                          <w:szCs w:val="20"/>
                        </w:rPr>
                        <w:t>% were hospitalised.</w:t>
                      </w:r>
                      <w:r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050EF" w:rsidRPr="00FC2612" w:rsidRDefault="00F25D18" w:rsidP="00F25D18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DBA0467" wp14:editId="1447E3B3">
                            <wp:extent cx="5860112" cy="2528515"/>
                            <wp:effectExtent l="0" t="0" r="0" b="0"/>
                            <wp:docPr id="5" name="Chart 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9"/>
                              </a:graphicData>
                            </a:graphic>
                          </wp:inline>
                        </w:drawing>
                      </w:r>
                    </w:p>
                    <w:p w:rsidR="00D050EF" w:rsidRPr="00BB48D3" w:rsidRDefault="00DB0727" w:rsidP="00D050EF">
                      <w:pPr>
                        <w:pStyle w:val="Caption"/>
                        <w:spacing w:line="240" w:lineRule="auto"/>
                        <w:rPr>
                          <w:color w:val="465E9C" w:themeColor="text2"/>
                          <w:sz w:val="20"/>
                        </w:rPr>
                      </w:pPr>
                      <w:r w:rsidRPr="00F25D18">
                        <w:rPr>
                          <w:color w:val="465E9C" w:themeColor="text2"/>
                          <w:sz w:val="20"/>
                        </w:rPr>
                        <w:t>Figure</w:t>
                      </w:r>
                      <w:r w:rsidR="00D050EF" w:rsidRPr="00F25D18">
                        <w:rPr>
                          <w:color w:val="465E9C" w:themeColor="text2"/>
                          <w:sz w:val="20"/>
                        </w:rPr>
                        <w:t xml:space="preserve">: Notifications of </w:t>
                      </w:r>
                      <w:r w:rsidR="00D050EF" w:rsidRPr="00F25D18">
                        <w:rPr>
                          <w:i/>
                          <w:color w:val="465E9C" w:themeColor="text2"/>
                          <w:sz w:val="20"/>
                        </w:rPr>
                        <w:t>Salmonella</w:t>
                      </w:r>
                      <w:r w:rsidR="00D050EF" w:rsidRPr="00F25D18">
                        <w:rPr>
                          <w:color w:val="465E9C" w:themeColor="text2"/>
                          <w:sz w:val="20"/>
                        </w:rPr>
                        <w:t xml:space="preserve"> Typhimurium MLVA 03-17-09-12-523 in WA, 2016 to </w:t>
                      </w:r>
                      <w:r w:rsidR="00F25D18" w:rsidRPr="00F25D18">
                        <w:rPr>
                          <w:color w:val="465E9C" w:themeColor="text2"/>
                          <w:sz w:val="20"/>
                        </w:rPr>
                        <w:t>June</w:t>
                      </w:r>
                      <w:r w:rsidR="00D050EF" w:rsidRPr="00F25D18">
                        <w:rPr>
                          <w:color w:val="465E9C" w:themeColor="text2"/>
                          <w:sz w:val="20"/>
                        </w:rPr>
                        <w:t xml:space="preserve"> 2019</w:t>
                      </w:r>
                    </w:p>
                    <w:p w:rsidR="00256108" w:rsidRPr="0014114D" w:rsidRDefault="00256108" w:rsidP="0087065F">
                      <w:pPr>
                        <w:spacing w:line="36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6B46" w:rsidRDefault="00F16266" w:rsidP="00F16266">
      <w:pPr>
        <w:tabs>
          <w:tab w:val="left" w:pos="1861"/>
        </w:tabs>
      </w:pPr>
      <w:r>
        <w:tab/>
      </w:r>
    </w:p>
    <w:p w:rsidR="00286B46" w:rsidRPr="00286B46" w:rsidRDefault="00286B46" w:rsidP="00286B46"/>
    <w:p w:rsidR="00286B46" w:rsidRPr="00286B46" w:rsidRDefault="00286B46" w:rsidP="00286B46"/>
    <w:p w:rsidR="00286B46" w:rsidRDefault="00286B46" w:rsidP="00286B46"/>
    <w:p w:rsidR="009342F3" w:rsidRDefault="009342F3" w:rsidP="00286B46">
      <w:pPr>
        <w:rPr>
          <w:b/>
          <w:color w:val="FF0000"/>
        </w:rPr>
      </w:pPr>
    </w:p>
    <w:p w:rsidR="009342F3" w:rsidRDefault="009342F3" w:rsidP="00286B46">
      <w:pPr>
        <w:rPr>
          <w:b/>
          <w:color w:val="FF0000"/>
        </w:rPr>
      </w:pPr>
    </w:p>
    <w:p w:rsidR="009342F3" w:rsidRDefault="009342F3" w:rsidP="00286B46">
      <w:pPr>
        <w:rPr>
          <w:b/>
          <w:color w:val="FF0000"/>
        </w:rPr>
      </w:pPr>
    </w:p>
    <w:p w:rsidR="009342F3" w:rsidRDefault="009342F3" w:rsidP="00286B46">
      <w:pPr>
        <w:rPr>
          <w:b/>
          <w:color w:val="FF0000"/>
        </w:rPr>
      </w:pPr>
    </w:p>
    <w:p w:rsidR="009342F3" w:rsidRDefault="009342F3" w:rsidP="00286B46">
      <w:pPr>
        <w:rPr>
          <w:b/>
          <w:color w:val="FF0000"/>
        </w:rPr>
      </w:pPr>
    </w:p>
    <w:p w:rsidR="0064090A" w:rsidRDefault="0064090A" w:rsidP="00286B46">
      <w:pPr>
        <w:rPr>
          <w:b/>
          <w:color w:val="FF0000"/>
        </w:rPr>
      </w:pPr>
    </w:p>
    <w:p w:rsidR="004C2780" w:rsidRDefault="004C2780" w:rsidP="00B62E68">
      <w:pPr>
        <w:rPr>
          <w:b/>
          <w:color w:val="FF0000"/>
        </w:rPr>
      </w:pPr>
    </w:p>
    <w:p w:rsidR="005D47ED" w:rsidRDefault="005D47ED" w:rsidP="00B62E68">
      <w:pPr>
        <w:rPr>
          <w:b/>
          <w:color w:val="FF0000"/>
        </w:rPr>
      </w:pPr>
    </w:p>
    <w:p w:rsidR="005D47ED" w:rsidRDefault="005D47ED" w:rsidP="00B62E68">
      <w:pPr>
        <w:rPr>
          <w:b/>
          <w:color w:val="FF0000"/>
        </w:rPr>
      </w:pPr>
    </w:p>
    <w:p w:rsidR="005D47ED" w:rsidRDefault="005D47ED" w:rsidP="00B62E68">
      <w:pPr>
        <w:rPr>
          <w:b/>
          <w:color w:val="FF0000"/>
        </w:rPr>
      </w:pPr>
    </w:p>
    <w:p w:rsidR="00A868F6" w:rsidRDefault="00B04133" w:rsidP="00B62E68">
      <w:pPr>
        <w:rPr>
          <w:b/>
          <w:color w:val="FF0000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140490" wp14:editId="19FFC0F6">
                <wp:simplePos x="0" y="0"/>
                <wp:positionH relativeFrom="column">
                  <wp:posOffset>-548640</wp:posOffset>
                </wp:positionH>
                <wp:positionV relativeFrom="paragraph">
                  <wp:posOffset>-246490</wp:posOffset>
                </wp:positionV>
                <wp:extent cx="6708775" cy="1463040"/>
                <wp:effectExtent l="0" t="0" r="0" b="38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1463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16D" w:rsidRPr="00AC2225" w:rsidRDefault="005D47ED" w:rsidP="0066016D">
                            <w:pPr>
                              <w:pStyle w:val="Caption"/>
                              <w:spacing w:after="120" w:line="240" w:lineRule="auto"/>
                              <w:rPr>
                                <w:color w:val="465E9C" w:themeColor="text2"/>
                                <w:sz w:val="20"/>
                              </w:rPr>
                            </w:pPr>
                            <w:r w:rsidRPr="00AC2225">
                              <w:rPr>
                                <w:color w:val="465E9C" w:themeColor="text2"/>
                                <w:sz w:val="20"/>
                              </w:rPr>
                              <w:t>Travel</w:t>
                            </w:r>
                            <w:r w:rsidR="00D050EF" w:rsidRPr="00AC2225">
                              <w:rPr>
                                <w:color w:val="465E9C" w:themeColor="text2"/>
                                <w:sz w:val="20"/>
                              </w:rPr>
                              <w:t xml:space="preserve"> associated infection</w:t>
                            </w:r>
                          </w:p>
                          <w:p w:rsidR="005D47ED" w:rsidRPr="00AC2225" w:rsidRDefault="00B90697" w:rsidP="005D47ED">
                            <w:pPr>
                              <w:pStyle w:val="Caption"/>
                              <w:spacing w:line="240" w:lineRule="auto"/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</w:pPr>
                            <w:r w:rsidRPr="00AC2225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 xml:space="preserve">Overseas acquisition was reported in </w:t>
                            </w:r>
                            <w:r w:rsidR="00AC2225" w:rsidRPr="00AC2225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305 (20</w:t>
                            </w:r>
                            <w:r w:rsidR="0012565F" w:rsidRPr="00AC2225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%)</w:t>
                            </w:r>
                            <w:r w:rsidR="005D47ED" w:rsidRPr="00AC2225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 xml:space="preserve"> of enteric disease notifications </w:t>
                            </w:r>
                            <w:r w:rsidR="00D050EF" w:rsidRPr="00AC2225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 xml:space="preserve">in the </w:t>
                            </w:r>
                            <w:r w:rsidR="00AC2225" w:rsidRPr="00AC2225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="00D050EF" w:rsidRPr="00AC2225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Q19</w:t>
                            </w:r>
                            <w:r w:rsidR="005D47ED" w:rsidRPr="00AC2225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</w:p>
                          <w:p w:rsidR="005D47ED" w:rsidRPr="00AC2225" w:rsidRDefault="005D47ED" w:rsidP="005D47E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2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most commonly reported country </w:t>
                            </w:r>
                            <w:r w:rsidR="00AC2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of acquisition was Indonesia (59</w:t>
                            </w:r>
                            <w:r w:rsidRPr="00AC2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%). </w:t>
                            </w:r>
                          </w:p>
                          <w:p w:rsidR="00E26D2C" w:rsidRPr="002255D7" w:rsidRDefault="00E26D2C" w:rsidP="005D47ED">
                            <w:pP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 w:rsidRPr="002255D7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Shiga toxin producing </w:t>
                            </w:r>
                            <w:r w:rsidRPr="002255D7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E. coli </w:t>
                            </w:r>
                            <w:r w:rsidRPr="002255D7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(STEC)</w:t>
                            </w:r>
                          </w:p>
                          <w:p w:rsidR="0066016D" w:rsidRPr="00B04133" w:rsidRDefault="00230C04" w:rsidP="005D47E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Twenty-five</w:t>
                            </w:r>
                            <w:r w:rsidR="00E26BEA" w:rsidRPr="00B041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out of 43</w:t>
                            </w:r>
                            <w:r w:rsidR="005D47ED" w:rsidRPr="00E26B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52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notifications were culture</w:t>
                            </w:r>
                            <w:r w:rsidR="005D47ED" w:rsidRPr="00E26B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697" w:rsidRPr="009674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positive</w:t>
                            </w:r>
                            <w:r w:rsidR="005D47ED" w:rsidRPr="009674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the mos</w:t>
                            </w:r>
                            <w:r w:rsidR="00B90697" w:rsidRPr="009674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 common serotype</w:t>
                            </w:r>
                            <w:r w:rsidR="00784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B04133" w:rsidRPr="009674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44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784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ere</w:t>
                            </w:r>
                            <w:r w:rsidR="00B044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O128 (n=11</w:t>
                            </w:r>
                            <w:r w:rsidR="00B04133" w:rsidRPr="009674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784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O157 (n=5)</w:t>
                            </w:r>
                            <w:r w:rsidR="005D47ED" w:rsidRPr="009674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D47ED" w:rsidRPr="002255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point source outbreaks were identified</w:t>
                            </w:r>
                            <w:r w:rsidR="00D90AC2" w:rsidRPr="002255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B04133" w:rsidRPr="002255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D90AC2" w:rsidRPr="002255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Q19</w:t>
                            </w:r>
                            <w:r w:rsidR="005D47ED" w:rsidRPr="002255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84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Some of the </w:t>
                            </w:r>
                            <w:r w:rsidR="005D47ED" w:rsidRPr="00B041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increase is likely due </w:t>
                            </w:r>
                            <w:r w:rsidR="00784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5D47ED" w:rsidRPr="00B041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increased </w:t>
                            </w:r>
                            <w:r w:rsidR="00B90697" w:rsidRPr="00B041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PCR </w:t>
                            </w:r>
                            <w:r w:rsidR="005D47ED" w:rsidRPr="00B041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testing by one private </w:t>
                            </w:r>
                            <w:r w:rsidR="00B90697" w:rsidRPr="00B041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laboratory</w:t>
                            </w:r>
                            <w:r w:rsidR="00784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the fourth quarter 2018</w:t>
                            </w:r>
                            <w:r w:rsidR="005D47ED" w:rsidRPr="00B041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4799B" w:rsidRPr="0064799B" w:rsidRDefault="0064799B" w:rsidP="005D47E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0490" id="_x0000_s1035" type="#_x0000_t202" style="position:absolute;margin-left:-43.2pt;margin-top:-19.4pt;width:528.25pt;height:11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" fillcolor="#d7dded [671]" stroked="f">
                <v:fill opacity="32896f"/>
                <v:textbox>
                  <w:txbxContent>
                    <w:p w:rsidR="0066016D" w:rsidRPr="00AC2225" w:rsidRDefault="005D47ED" w:rsidP="0066016D">
                      <w:pPr>
                        <w:pStyle w:val="Caption"/>
                        <w:spacing w:after="120" w:line="240" w:lineRule="auto"/>
                        <w:rPr>
                          <w:color w:val="465E9C" w:themeColor="text2"/>
                          <w:sz w:val="20"/>
                        </w:rPr>
                      </w:pPr>
                      <w:r w:rsidRPr="00AC2225">
                        <w:rPr>
                          <w:color w:val="465E9C" w:themeColor="text2"/>
                          <w:sz w:val="20"/>
                        </w:rPr>
                        <w:t>Travel</w:t>
                      </w:r>
                      <w:r w:rsidR="00D050EF" w:rsidRPr="00AC2225">
                        <w:rPr>
                          <w:color w:val="465E9C" w:themeColor="text2"/>
                          <w:sz w:val="20"/>
                        </w:rPr>
                        <w:t xml:space="preserve"> associated infection</w:t>
                      </w:r>
                    </w:p>
                    <w:p w:rsidR="005D47ED" w:rsidRPr="00AC2225" w:rsidRDefault="00B90697" w:rsidP="005D47ED">
                      <w:pPr>
                        <w:pStyle w:val="Caption"/>
                        <w:spacing w:line="240" w:lineRule="auto"/>
                        <w:rPr>
                          <w:b w:val="0"/>
                          <w:color w:val="000000" w:themeColor="text1"/>
                          <w:sz w:val="20"/>
                        </w:rPr>
                      </w:pPr>
                      <w:r w:rsidRPr="00AC2225">
                        <w:rPr>
                          <w:b w:val="0"/>
                          <w:color w:val="000000" w:themeColor="text1"/>
                          <w:sz w:val="20"/>
                        </w:rPr>
                        <w:t xml:space="preserve">Overseas acquisition was reported in </w:t>
                      </w:r>
                      <w:r w:rsidR="00AC2225" w:rsidRPr="00AC2225">
                        <w:rPr>
                          <w:b w:val="0"/>
                          <w:color w:val="000000" w:themeColor="text1"/>
                          <w:sz w:val="20"/>
                        </w:rPr>
                        <w:t>305 (20</w:t>
                      </w:r>
                      <w:r w:rsidR="0012565F" w:rsidRPr="00AC2225">
                        <w:rPr>
                          <w:b w:val="0"/>
                          <w:color w:val="000000" w:themeColor="text1"/>
                          <w:sz w:val="20"/>
                        </w:rPr>
                        <w:t>%)</w:t>
                      </w:r>
                      <w:r w:rsidR="005D47ED" w:rsidRPr="00AC2225">
                        <w:rPr>
                          <w:b w:val="0"/>
                          <w:color w:val="000000" w:themeColor="text1"/>
                          <w:sz w:val="20"/>
                        </w:rPr>
                        <w:t xml:space="preserve"> of enteric disease notifications </w:t>
                      </w:r>
                      <w:r w:rsidR="00D050EF" w:rsidRPr="00AC2225">
                        <w:rPr>
                          <w:b w:val="0"/>
                          <w:color w:val="000000" w:themeColor="text1"/>
                          <w:sz w:val="20"/>
                        </w:rPr>
                        <w:t xml:space="preserve">in the </w:t>
                      </w:r>
                      <w:r w:rsidR="00AC2225" w:rsidRPr="00AC2225">
                        <w:rPr>
                          <w:b w:val="0"/>
                          <w:color w:val="000000" w:themeColor="text1"/>
                          <w:sz w:val="20"/>
                        </w:rPr>
                        <w:t>2</w:t>
                      </w:r>
                      <w:r w:rsidR="00D050EF" w:rsidRPr="00AC2225">
                        <w:rPr>
                          <w:b w:val="0"/>
                          <w:color w:val="000000" w:themeColor="text1"/>
                          <w:sz w:val="20"/>
                        </w:rPr>
                        <w:t>Q19</w:t>
                      </w:r>
                      <w:r w:rsidR="005D47ED" w:rsidRPr="00AC2225">
                        <w:rPr>
                          <w:b w:val="0"/>
                          <w:color w:val="000000" w:themeColor="text1"/>
                          <w:sz w:val="20"/>
                        </w:rPr>
                        <w:t xml:space="preserve">: </w:t>
                      </w:r>
                    </w:p>
                    <w:p w:rsidR="005D47ED" w:rsidRPr="00AC2225" w:rsidRDefault="005D47ED" w:rsidP="005D47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C2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most commonly reported country </w:t>
                      </w:r>
                      <w:r w:rsidR="00AC2225">
                        <w:rPr>
                          <w:color w:val="000000" w:themeColor="text1"/>
                          <w:sz w:val="20"/>
                          <w:szCs w:val="20"/>
                        </w:rPr>
                        <w:t>of acquisition was Indonesia (59</w:t>
                      </w:r>
                      <w:r w:rsidRPr="00AC2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%). </w:t>
                      </w:r>
                    </w:p>
                    <w:p w:rsidR="00E26D2C" w:rsidRPr="002255D7" w:rsidRDefault="00E26D2C" w:rsidP="005D47ED">
                      <w:pP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</w:pPr>
                      <w:r w:rsidRPr="002255D7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Shiga toxin producing </w:t>
                      </w:r>
                      <w:r w:rsidRPr="002255D7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 xml:space="preserve">E. coli </w:t>
                      </w:r>
                      <w:r w:rsidRPr="002255D7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(STEC)</w:t>
                      </w:r>
                    </w:p>
                    <w:p w:rsidR="0066016D" w:rsidRPr="00B04133" w:rsidRDefault="00230C04" w:rsidP="005D47E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Twenty-five</w:t>
                      </w:r>
                      <w:r w:rsidR="00E26BEA" w:rsidRPr="00B0413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out of 43</w:t>
                      </w:r>
                      <w:r w:rsidR="005D47ED" w:rsidRPr="00E26BE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95233">
                        <w:rPr>
                          <w:color w:val="000000" w:themeColor="text1"/>
                          <w:sz w:val="20"/>
                          <w:szCs w:val="20"/>
                        </w:rPr>
                        <w:t>notifications were culture</w:t>
                      </w:r>
                      <w:r w:rsidR="005D47ED" w:rsidRPr="00E26BE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90697" w:rsidRPr="00967444">
                        <w:rPr>
                          <w:color w:val="000000" w:themeColor="text1"/>
                          <w:sz w:val="20"/>
                          <w:szCs w:val="20"/>
                        </w:rPr>
                        <w:t>positive</w:t>
                      </w:r>
                      <w:r w:rsidR="005D47ED" w:rsidRPr="00967444">
                        <w:rPr>
                          <w:color w:val="000000" w:themeColor="text1"/>
                          <w:sz w:val="20"/>
                          <w:szCs w:val="20"/>
                        </w:rPr>
                        <w:t>, the mos</w:t>
                      </w:r>
                      <w:r w:rsidR="00B90697" w:rsidRPr="00967444">
                        <w:rPr>
                          <w:color w:val="000000" w:themeColor="text1"/>
                          <w:sz w:val="20"/>
                          <w:szCs w:val="20"/>
                        </w:rPr>
                        <w:t>t common serotype</w:t>
                      </w:r>
                      <w:r w:rsidR="00784309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B04133" w:rsidRPr="0096744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044C2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784309">
                        <w:rPr>
                          <w:color w:val="000000" w:themeColor="text1"/>
                          <w:sz w:val="20"/>
                          <w:szCs w:val="20"/>
                        </w:rPr>
                        <w:t>ere</w:t>
                      </w:r>
                      <w:r w:rsidR="00B044C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O128 (n=11</w:t>
                      </w:r>
                      <w:r w:rsidR="00B04133" w:rsidRPr="00967444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78430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O157 (n=5)</w:t>
                      </w:r>
                      <w:r w:rsidR="005D47ED" w:rsidRPr="0096744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5D47ED" w:rsidRPr="002255D7">
                        <w:rPr>
                          <w:color w:val="000000" w:themeColor="text1"/>
                          <w:sz w:val="20"/>
                          <w:szCs w:val="20"/>
                        </w:rPr>
                        <w:t>No point source outbreaks were identified</w:t>
                      </w:r>
                      <w:r w:rsidR="00D90AC2" w:rsidRPr="002255D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r w:rsidR="00B04133" w:rsidRPr="002255D7">
                        <w:rPr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D90AC2" w:rsidRPr="002255D7">
                        <w:rPr>
                          <w:color w:val="000000" w:themeColor="text1"/>
                          <w:sz w:val="20"/>
                          <w:szCs w:val="20"/>
                        </w:rPr>
                        <w:t>Q19</w:t>
                      </w:r>
                      <w:r w:rsidR="005D47ED" w:rsidRPr="002255D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78430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Some of the </w:t>
                      </w:r>
                      <w:r w:rsidR="005D47ED" w:rsidRPr="00B0413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increase is likely due </w:t>
                      </w:r>
                      <w:r w:rsidR="0078430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="005D47ED" w:rsidRPr="00B0413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increased </w:t>
                      </w:r>
                      <w:r w:rsidR="00B90697" w:rsidRPr="00B0413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PCR </w:t>
                      </w:r>
                      <w:r w:rsidR="005D47ED" w:rsidRPr="00B0413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testing by one private </w:t>
                      </w:r>
                      <w:r w:rsidR="00B90697" w:rsidRPr="00B04133">
                        <w:rPr>
                          <w:color w:val="000000" w:themeColor="text1"/>
                          <w:sz w:val="20"/>
                          <w:szCs w:val="20"/>
                        </w:rPr>
                        <w:t>laboratory</w:t>
                      </w:r>
                      <w:r w:rsidR="0078430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 the fourth quarter 2018</w:t>
                      </w:r>
                      <w:r w:rsidR="005D47ED" w:rsidRPr="00B04133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64799B" w:rsidRPr="0064799B" w:rsidRDefault="0064799B" w:rsidP="005D47E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0727" w:rsidRDefault="00DB0727" w:rsidP="00B62E68">
      <w:pPr>
        <w:rPr>
          <w:b/>
          <w:color w:val="FF0000"/>
        </w:rPr>
      </w:pPr>
    </w:p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Default="00DB0727" w:rsidP="00DB0727"/>
    <w:p w:rsidR="00B0277F" w:rsidRDefault="00B0277F" w:rsidP="00DB0727"/>
    <w:p w:rsidR="00B0277F" w:rsidRDefault="00B0277F" w:rsidP="00DB0727"/>
    <w:p w:rsidR="00B0277F" w:rsidRPr="00DB0727" w:rsidRDefault="00B0277F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Default="00DB0727" w:rsidP="00DB0727"/>
    <w:p w:rsidR="00DB0727" w:rsidRDefault="00DB0727" w:rsidP="00DB0727"/>
    <w:p w:rsidR="005D47ED" w:rsidRPr="00DB0727" w:rsidRDefault="00DB0727" w:rsidP="00DB0727">
      <w:pPr>
        <w:tabs>
          <w:tab w:val="left" w:pos="1753"/>
        </w:tabs>
      </w:pPr>
      <w:r>
        <w:tab/>
      </w:r>
    </w:p>
    <w:sectPr w:rsidR="005D47ED" w:rsidRPr="00DB0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266" w:rsidRDefault="00F16266" w:rsidP="00F16266">
      <w:pPr>
        <w:spacing w:after="0"/>
      </w:pPr>
      <w:r>
        <w:separator/>
      </w:r>
    </w:p>
  </w:endnote>
  <w:endnote w:type="continuationSeparator" w:id="0">
    <w:p w:rsidR="00F16266" w:rsidRDefault="00F16266" w:rsidP="00F16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266" w:rsidRDefault="00F16266" w:rsidP="00F16266">
      <w:pPr>
        <w:spacing w:after="0"/>
      </w:pPr>
      <w:r>
        <w:separator/>
      </w:r>
    </w:p>
  </w:footnote>
  <w:footnote w:type="continuationSeparator" w:id="0">
    <w:p w:rsidR="00F16266" w:rsidRDefault="00F16266" w:rsidP="00F162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C32"/>
    <w:multiLevelType w:val="hybridMultilevel"/>
    <w:tmpl w:val="10D4FB6A"/>
    <w:lvl w:ilvl="0" w:tplc="EDB00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603"/>
    <w:multiLevelType w:val="hybridMultilevel"/>
    <w:tmpl w:val="2D30E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402E"/>
    <w:multiLevelType w:val="hybridMultilevel"/>
    <w:tmpl w:val="AF889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DA023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6F0"/>
    <w:rsid w:val="00070BEF"/>
    <w:rsid w:val="0009316F"/>
    <w:rsid w:val="000A14BB"/>
    <w:rsid w:val="0012565F"/>
    <w:rsid w:val="0014114D"/>
    <w:rsid w:val="001437E0"/>
    <w:rsid w:val="00171B7B"/>
    <w:rsid w:val="001B7A2B"/>
    <w:rsid w:val="001C6153"/>
    <w:rsid w:val="001C7D1F"/>
    <w:rsid w:val="001F6030"/>
    <w:rsid w:val="001F68E9"/>
    <w:rsid w:val="00220E8F"/>
    <w:rsid w:val="002255D7"/>
    <w:rsid w:val="00230C04"/>
    <w:rsid w:val="0024249E"/>
    <w:rsid w:val="00243C14"/>
    <w:rsid w:val="00256108"/>
    <w:rsid w:val="00286B46"/>
    <w:rsid w:val="002A1586"/>
    <w:rsid w:val="002C7D7D"/>
    <w:rsid w:val="002F24A7"/>
    <w:rsid w:val="003352B9"/>
    <w:rsid w:val="00355004"/>
    <w:rsid w:val="003929E7"/>
    <w:rsid w:val="004175D4"/>
    <w:rsid w:val="004230AE"/>
    <w:rsid w:val="004276EA"/>
    <w:rsid w:val="004453BF"/>
    <w:rsid w:val="00447A73"/>
    <w:rsid w:val="004659B0"/>
    <w:rsid w:val="00466DB9"/>
    <w:rsid w:val="00471692"/>
    <w:rsid w:val="00492250"/>
    <w:rsid w:val="004A609E"/>
    <w:rsid w:val="004C104B"/>
    <w:rsid w:val="004C2780"/>
    <w:rsid w:val="004C6976"/>
    <w:rsid w:val="005077EF"/>
    <w:rsid w:val="0056716B"/>
    <w:rsid w:val="00567A00"/>
    <w:rsid w:val="005A409E"/>
    <w:rsid w:val="005D47ED"/>
    <w:rsid w:val="0061606C"/>
    <w:rsid w:val="0064090A"/>
    <w:rsid w:val="0064799B"/>
    <w:rsid w:val="0066016D"/>
    <w:rsid w:val="006F36F0"/>
    <w:rsid w:val="006F52D0"/>
    <w:rsid w:val="00712477"/>
    <w:rsid w:val="0077027C"/>
    <w:rsid w:val="00784309"/>
    <w:rsid w:val="007D7512"/>
    <w:rsid w:val="007D793C"/>
    <w:rsid w:val="007F410D"/>
    <w:rsid w:val="008449C2"/>
    <w:rsid w:val="0087065F"/>
    <w:rsid w:val="00881846"/>
    <w:rsid w:val="00897837"/>
    <w:rsid w:val="008979F5"/>
    <w:rsid w:val="008C56B7"/>
    <w:rsid w:val="008F7FE4"/>
    <w:rsid w:val="0090046F"/>
    <w:rsid w:val="0090693F"/>
    <w:rsid w:val="00926467"/>
    <w:rsid w:val="00930DF8"/>
    <w:rsid w:val="00931BD5"/>
    <w:rsid w:val="009342F3"/>
    <w:rsid w:val="00937EBD"/>
    <w:rsid w:val="009668ED"/>
    <w:rsid w:val="00967444"/>
    <w:rsid w:val="00981DA1"/>
    <w:rsid w:val="00990D6C"/>
    <w:rsid w:val="009B36C8"/>
    <w:rsid w:val="009C0445"/>
    <w:rsid w:val="009D1723"/>
    <w:rsid w:val="009F648B"/>
    <w:rsid w:val="00A45954"/>
    <w:rsid w:val="00A54379"/>
    <w:rsid w:val="00A868F6"/>
    <w:rsid w:val="00A91C4C"/>
    <w:rsid w:val="00AA22A0"/>
    <w:rsid w:val="00AA663C"/>
    <w:rsid w:val="00AC2225"/>
    <w:rsid w:val="00B0277F"/>
    <w:rsid w:val="00B04133"/>
    <w:rsid w:val="00B044C2"/>
    <w:rsid w:val="00B15A8E"/>
    <w:rsid w:val="00B533A7"/>
    <w:rsid w:val="00B62E68"/>
    <w:rsid w:val="00B90697"/>
    <w:rsid w:val="00BB2332"/>
    <w:rsid w:val="00BB48D3"/>
    <w:rsid w:val="00BB5682"/>
    <w:rsid w:val="00BD41EB"/>
    <w:rsid w:val="00BE1F4C"/>
    <w:rsid w:val="00BE3C2D"/>
    <w:rsid w:val="00BE50E9"/>
    <w:rsid w:val="00C37C4B"/>
    <w:rsid w:val="00C53645"/>
    <w:rsid w:val="00C6252C"/>
    <w:rsid w:val="00C7143D"/>
    <w:rsid w:val="00C94695"/>
    <w:rsid w:val="00C95233"/>
    <w:rsid w:val="00CF64E2"/>
    <w:rsid w:val="00D050EF"/>
    <w:rsid w:val="00D147D4"/>
    <w:rsid w:val="00D514D4"/>
    <w:rsid w:val="00D723C4"/>
    <w:rsid w:val="00D90AC2"/>
    <w:rsid w:val="00D9301F"/>
    <w:rsid w:val="00DB0727"/>
    <w:rsid w:val="00DC7646"/>
    <w:rsid w:val="00DE4BFE"/>
    <w:rsid w:val="00E26BEA"/>
    <w:rsid w:val="00E26D2C"/>
    <w:rsid w:val="00E40563"/>
    <w:rsid w:val="00E47483"/>
    <w:rsid w:val="00E842C2"/>
    <w:rsid w:val="00E8491C"/>
    <w:rsid w:val="00EB6ED6"/>
    <w:rsid w:val="00EE1546"/>
    <w:rsid w:val="00EE383C"/>
    <w:rsid w:val="00F16266"/>
    <w:rsid w:val="00F25D18"/>
    <w:rsid w:val="00FB1467"/>
    <w:rsid w:val="00FB2D91"/>
    <w:rsid w:val="00FB7719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AD0D"/>
  <w15:docId w15:val="{865C49BE-470B-4FD5-BC90-C6D42F27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F16266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FDA023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FDA02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465E9C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5E9C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465E9C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5E9C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D57B02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2B1E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D57B02" w:themeColor="accent1" w:themeShade="BF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AA2B1E" w:themeFill="accent2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7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AA2B1E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FEE7C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AA2B1E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2B1E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7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F36F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2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26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rsid w:val="00F16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6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2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6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266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5D47ED"/>
    <w:pPr>
      <w:spacing w:after="0" w:line="360" w:lineRule="auto"/>
    </w:pPr>
    <w:rPr>
      <w:rFonts w:eastAsia="Cambria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rsid w:val="00E842C2"/>
    <w:rPr>
      <w:color w:val="ED7D2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2.health.wa.gov.au/~/media/Files/Corporate/general%20documents/Infectious%20diseases/Word/OzFoodNet/WA-OzFoodnet-appendix2-2019-Q2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2.health.wa.gov.au/~/media/Files/Corporate/general%20documents/Infectious%20diseases/Word/OzFoodNet/WA-OzFoodnet-appendix2-2019-Q2.do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2.health.wa.gov.au/~/media/Files/Corporate/general%20documents/Infectious%20diseases/Word/OzFoodNet/WA-OzFoodnet-appendix1-2019-Q2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2.health.wa.gov.au/~/media/Files/Corporate/general%20documents/Infectious%20diseases/Word/OzFoodNet/WA-OzFoodnet-appendix1-2019-Q2.doc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'Fig3'!$C$2</c:f>
              <c:strCache>
                <c:ptCount val="1"/>
                <c:pt idx="0">
                  <c:v>Community cases</c:v>
                </c:pt>
              </c:strCache>
            </c:strRef>
          </c:tx>
          <c:invertIfNegative val="0"/>
          <c:cat>
            <c:multiLvlStrRef>
              <c:f>'Fig3'!$A$23:$B$56</c:f>
              <c:multiLvlStrCache>
                <c:ptCount val="34"/>
                <c:lvl>
                  <c:pt idx="0">
                    <c:v>Sep</c:v>
                  </c:pt>
                  <c:pt idx="1">
                    <c:v>Oct</c:v>
                  </c:pt>
                  <c:pt idx="2">
                    <c:v>Nov</c:v>
                  </c:pt>
                  <c:pt idx="3">
                    <c:v>Dec</c:v>
                  </c:pt>
                  <c:pt idx="4">
                    <c:v>Jan</c:v>
                  </c:pt>
                  <c:pt idx="5">
                    <c:v>Feb</c:v>
                  </c:pt>
                  <c:pt idx="6">
                    <c:v>Mar</c:v>
                  </c:pt>
                  <c:pt idx="7">
                    <c:v>Apr</c:v>
                  </c:pt>
                  <c:pt idx="8">
                    <c:v>May</c:v>
                  </c:pt>
                  <c:pt idx="9">
                    <c:v>Jun</c:v>
                  </c:pt>
                  <c:pt idx="10">
                    <c:v>Jul</c:v>
                  </c:pt>
                  <c:pt idx="11">
                    <c:v>Aug</c:v>
                  </c:pt>
                  <c:pt idx="12">
                    <c:v>Sep</c:v>
                  </c:pt>
                  <c:pt idx="13">
                    <c:v>Oct</c:v>
                  </c:pt>
                  <c:pt idx="14">
                    <c:v>Nov</c:v>
                  </c:pt>
                  <c:pt idx="15">
                    <c:v>Dec</c:v>
                  </c:pt>
                  <c:pt idx="16">
                    <c:v>Jan</c:v>
                  </c:pt>
                  <c:pt idx="17">
                    <c:v>Feb</c:v>
                  </c:pt>
                  <c:pt idx="18">
                    <c:v>Mar</c:v>
                  </c:pt>
                  <c:pt idx="19">
                    <c:v>Apr</c:v>
                  </c:pt>
                  <c:pt idx="20">
                    <c:v>May</c:v>
                  </c:pt>
                  <c:pt idx="21">
                    <c:v>Jun</c:v>
                  </c:pt>
                  <c:pt idx="22">
                    <c:v>Jul</c:v>
                  </c:pt>
                  <c:pt idx="23">
                    <c:v>Aug</c:v>
                  </c:pt>
                  <c:pt idx="24">
                    <c:v>Sep</c:v>
                  </c:pt>
                  <c:pt idx="25">
                    <c:v>Oct</c:v>
                  </c:pt>
                  <c:pt idx="26">
                    <c:v>Nov</c:v>
                  </c:pt>
                  <c:pt idx="27">
                    <c:v>Dec</c:v>
                  </c:pt>
                  <c:pt idx="28">
                    <c:v>Jan</c:v>
                  </c:pt>
                  <c:pt idx="29">
                    <c:v>Feb</c:v>
                  </c:pt>
                  <c:pt idx="30">
                    <c:v>Mar</c:v>
                  </c:pt>
                  <c:pt idx="31">
                    <c:v>Apr</c:v>
                  </c:pt>
                  <c:pt idx="32">
                    <c:v>May</c:v>
                  </c:pt>
                  <c:pt idx="33">
                    <c:v>Jun</c:v>
                  </c:pt>
                </c:lvl>
                <c:lvl>
                  <c:pt idx="4">
                    <c:v>2017</c:v>
                  </c:pt>
                  <c:pt idx="16">
                    <c:v>2018</c:v>
                  </c:pt>
                  <c:pt idx="28">
                    <c:v>2019</c:v>
                  </c:pt>
                </c:lvl>
              </c:multiLvlStrCache>
            </c:multiLvlStrRef>
          </c:cat>
          <c:val>
            <c:numRef>
              <c:f>'Fig3'!$C$23:$C$56</c:f>
              <c:numCache>
                <c:formatCode>General</c:formatCode>
                <c:ptCount val="34"/>
                <c:pt idx="0">
                  <c:v>1</c:v>
                </c:pt>
                <c:pt idx="1">
                  <c:v>4</c:v>
                </c:pt>
                <c:pt idx="2">
                  <c:v>28</c:v>
                </c:pt>
                <c:pt idx="3">
                  <c:v>38</c:v>
                </c:pt>
                <c:pt idx="4">
                  <c:v>69</c:v>
                </c:pt>
                <c:pt idx="5">
                  <c:v>65</c:v>
                </c:pt>
                <c:pt idx="6">
                  <c:v>86</c:v>
                </c:pt>
                <c:pt idx="7">
                  <c:v>50</c:v>
                </c:pt>
                <c:pt idx="8">
                  <c:v>41</c:v>
                </c:pt>
                <c:pt idx="9">
                  <c:v>26</c:v>
                </c:pt>
                <c:pt idx="10">
                  <c:v>25</c:v>
                </c:pt>
                <c:pt idx="11">
                  <c:v>27</c:v>
                </c:pt>
                <c:pt idx="12">
                  <c:v>22</c:v>
                </c:pt>
                <c:pt idx="13">
                  <c:v>27</c:v>
                </c:pt>
                <c:pt idx="14">
                  <c:v>33</c:v>
                </c:pt>
                <c:pt idx="15">
                  <c:v>21</c:v>
                </c:pt>
                <c:pt idx="16">
                  <c:v>25</c:v>
                </c:pt>
                <c:pt idx="17">
                  <c:v>21</c:v>
                </c:pt>
                <c:pt idx="18">
                  <c:v>25</c:v>
                </c:pt>
                <c:pt idx="19">
                  <c:v>28</c:v>
                </c:pt>
                <c:pt idx="20">
                  <c:v>57</c:v>
                </c:pt>
                <c:pt idx="21">
                  <c:v>37</c:v>
                </c:pt>
                <c:pt idx="22">
                  <c:v>31</c:v>
                </c:pt>
                <c:pt idx="23">
                  <c:v>29</c:v>
                </c:pt>
                <c:pt idx="24">
                  <c:v>16</c:v>
                </c:pt>
                <c:pt idx="25">
                  <c:v>9</c:v>
                </c:pt>
                <c:pt idx="26">
                  <c:v>22</c:v>
                </c:pt>
                <c:pt idx="27">
                  <c:v>16</c:v>
                </c:pt>
                <c:pt idx="28">
                  <c:v>16</c:v>
                </c:pt>
                <c:pt idx="29">
                  <c:v>24</c:v>
                </c:pt>
                <c:pt idx="30">
                  <c:v>24</c:v>
                </c:pt>
                <c:pt idx="31">
                  <c:v>41</c:v>
                </c:pt>
                <c:pt idx="32">
                  <c:v>30</c:v>
                </c:pt>
                <c:pt idx="3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5F-4BC4-B686-DAA4BDE3FD58}"/>
            </c:ext>
          </c:extLst>
        </c:ser>
        <c:ser>
          <c:idx val="2"/>
          <c:order val="1"/>
          <c:tx>
            <c:strRef>
              <c:f>'Fig3'!$D$2</c:f>
              <c:strCache>
                <c:ptCount val="1"/>
                <c:pt idx="0">
                  <c:v>Point-source outbreak cases</c:v>
                </c:pt>
              </c:strCache>
            </c:strRef>
          </c:tx>
          <c:invertIfNegative val="0"/>
          <c:cat>
            <c:multiLvlStrRef>
              <c:f>'Fig3'!$A$23:$B$56</c:f>
              <c:multiLvlStrCache>
                <c:ptCount val="34"/>
                <c:lvl>
                  <c:pt idx="0">
                    <c:v>Sep</c:v>
                  </c:pt>
                  <c:pt idx="1">
                    <c:v>Oct</c:v>
                  </c:pt>
                  <c:pt idx="2">
                    <c:v>Nov</c:v>
                  </c:pt>
                  <c:pt idx="3">
                    <c:v>Dec</c:v>
                  </c:pt>
                  <c:pt idx="4">
                    <c:v>Jan</c:v>
                  </c:pt>
                  <c:pt idx="5">
                    <c:v>Feb</c:v>
                  </c:pt>
                  <c:pt idx="6">
                    <c:v>Mar</c:v>
                  </c:pt>
                  <c:pt idx="7">
                    <c:v>Apr</c:v>
                  </c:pt>
                  <c:pt idx="8">
                    <c:v>May</c:v>
                  </c:pt>
                  <c:pt idx="9">
                    <c:v>Jun</c:v>
                  </c:pt>
                  <c:pt idx="10">
                    <c:v>Jul</c:v>
                  </c:pt>
                  <c:pt idx="11">
                    <c:v>Aug</c:v>
                  </c:pt>
                  <c:pt idx="12">
                    <c:v>Sep</c:v>
                  </c:pt>
                  <c:pt idx="13">
                    <c:v>Oct</c:v>
                  </c:pt>
                  <c:pt idx="14">
                    <c:v>Nov</c:v>
                  </c:pt>
                  <c:pt idx="15">
                    <c:v>Dec</c:v>
                  </c:pt>
                  <c:pt idx="16">
                    <c:v>Jan</c:v>
                  </c:pt>
                  <c:pt idx="17">
                    <c:v>Feb</c:v>
                  </c:pt>
                  <c:pt idx="18">
                    <c:v>Mar</c:v>
                  </c:pt>
                  <c:pt idx="19">
                    <c:v>Apr</c:v>
                  </c:pt>
                  <c:pt idx="20">
                    <c:v>May</c:v>
                  </c:pt>
                  <c:pt idx="21">
                    <c:v>Jun</c:v>
                  </c:pt>
                  <c:pt idx="22">
                    <c:v>Jul</c:v>
                  </c:pt>
                  <c:pt idx="23">
                    <c:v>Aug</c:v>
                  </c:pt>
                  <c:pt idx="24">
                    <c:v>Sep</c:v>
                  </c:pt>
                  <c:pt idx="25">
                    <c:v>Oct</c:v>
                  </c:pt>
                  <c:pt idx="26">
                    <c:v>Nov</c:v>
                  </c:pt>
                  <c:pt idx="27">
                    <c:v>Dec</c:v>
                  </c:pt>
                  <c:pt idx="28">
                    <c:v>Jan</c:v>
                  </c:pt>
                  <c:pt idx="29">
                    <c:v>Feb</c:v>
                  </c:pt>
                  <c:pt idx="30">
                    <c:v>Mar</c:v>
                  </c:pt>
                  <c:pt idx="31">
                    <c:v>Apr</c:v>
                  </c:pt>
                  <c:pt idx="32">
                    <c:v>May</c:v>
                  </c:pt>
                  <c:pt idx="33">
                    <c:v>Jun</c:v>
                  </c:pt>
                </c:lvl>
                <c:lvl>
                  <c:pt idx="4">
                    <c:v>2017</c:v>
                  </c:pt>
                  <c:pt idx="16">
                    <c:v>2018</c:v>
                  </c:pt>
                  <c:pt idx="28">
                    <c:v>2019</c:v>
                  </c:pt>
                </c:lvl>
              </c:multiLvlStrCache>
            </c:multiLvlStrRef>
          </c:cat>
          <c:val>
            <c:numRef>
              <c:f>'Fig3'!$D$23:$D$56</c:f>
              <c:numCache>
                <c:formatCode>General</c:formatCode>
                <c:ptCount val="34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0</c:v>
                </c:pt>
                <c:pt idx="4">
                  <c:v>15</c:v>
                </c:pt>
                <c:pt idx="5">
                  <c:v>28</c:v>
                </c:pt>
                <c:pt idx="6">
                  <c:v>35</c:v>
                </c:pt>
                <c:pt idx="7">
                  <c:v>1</c:v>
                </c:pt>
                <c:pt idx="8">
                  <c:v>5</c:v>
                </c:pt>
                <c:pt idx="9">
                  <c:v>8</c:v>
                </c:pt>
                <c:pt idx="10">
                  <c:v>0</c:v>
                </c:pt>
                <c:pt idx="11">
                  <c:v>14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10</c:v>
                </c:pt>
                <c:pt idx="16">
                  <c:v>28</c:v>
                </c:pt>
                <c:pt idx="17">
                  <c:v>9</c:v>
                </c:pt>
                <c:pt idx="18">
                  <c:v>3</c:v>
                </c:pt>
                <c:pt idx="19">
                  <c:v>8</c:v>
                </c:pt>
                <c:pt idx="20">
                  <c:v>23</c:v>
                </c:pt>
                <c:pt idx="21">
                  <c:v>1</c:v>
                </c:pt>
                <c:pt idx="22">
                  <c:v>7</c:v>
                </c:pt>
                <c:pt idx="23">
                  <c:v>2</c:v>
                </c:pt>
                <c:pt idx="24">
                  <c:v>1</c:v>
                </c:pt>
                <c:pt idx="25">
                  <c:v>0</c:v>
                </c:pt>
                <c:pt idx="26">
                  <c:v>7</c:v>
                </c:pt>
                <c:pt idx="27">
                  <c:v>16</c:v>
                </c:pt>
                <c:pt idx="28">
                  <c:v>8</c:v>
                </c:pt>
                <c:pt idx="29">
                  <c:v>3</c:v>
                </c:pt>
                <c:pt idx="30">
                  <c:v>2</c:v>
                </c:pt>
                <c:pt idx="31">
                  <c:v>4</c:v>
                </c:pt>
                <c:pt idx="32">
                  <c:v>2</c:v>
                </c:pt>
                <c:pt idx="3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5F-4BC4-B686-DAA4BDE3FD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4032896"/>
        <c:axId val="37041664"/>
      </c:barChart>
      <c:catAx>
        <c:axId val="84032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 and month of onset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37041664"/>
        <c:crosses val="autoZero"/>
        <c:auto val="1"/>
        <c:lblAlgn val="ctr"/>
        <c:lblOffset val="100"/>
        <c:noMultiLvlLbl val="0"/>
      </c:catAx>
      <c:valAx>
        <c:axId val="3704166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 of notifications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403289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6442532218167536"/>
          <c:y val="0.1322207006732854"/>
          <c:w val="0.31281967157951412"/>
          <c:h val="0.13103560424512153"/>
        </c:manualLayout>
      </c:layout>
      <c:overlay val="1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0.01122</cdr:x>
      <cdr:y>0.89643</cdr:y>
    </cdr:from>
    <cdr:to>
      <cdr:x>0.24658</cdr:x>
      <cdr:y>0.97298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5728" y="2266122"/>
          <a:ext cx="1379158" cy="1935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AU" sz="800" b="0" i="0">
              <a:effectLst/>
              <a:latin typeface="+mn-lt"/>
              <a:ea typeface="+mn-ea"/>
              <a:cs typeface="+mn-cs"/>
            </a:rPr>
            <a:t>© WA Department of Health 2019</a:t>
          </a:r>
          <a:endParaRPr lang="en-AU" sz="8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97A5-AD5D-4F83-8D52-9DAD121F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Witham, Benjamin</dc:creator>
  <cp:lastModifiedBy>Witham, Benjamin</cp:lastModifiedBy>
  <cp:revision>25</cp:revision>
  <dcterms:created xsi:type="dcterms:W3CDTF">2019-09-26T03:22:00Z</dcterms:created>
  <dcterms:modified xsi:type="dcterms:W3CDTF">2020-04-07T04:36:00Z</dcterms:modified>
</cp:coreProperties>
</file>