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45E1E" w14:textId="788327A7" w:rsidR="002E5F5B" w:rsidRPr="00E775B0" w:rsidRDefault="007760FE" w:rsidP="00E775B0">
      <w:bookmarkStart w:id="0" w:name="_GoBack"/>
      <w:bookmarkEnd w:id="0"/>
      <w:r>
        <w:rPr>
          <w:noProof/>
          <w:lang w:eastAsia="en-AU"/>
        </w:rPr>
        <w:drawing>
          <wp:inline distT="0" distB="0" distL="0" distR="0" wp14:anchorId="5A95237C" wp14:editId="2DE4AFEB">
            <wp:extent cx="2676525" cy="4829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ublic-and-aboriginal-health-colo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32573" cy="493096"/>
                    </a:xfrm>
                    <a:prstGeom prst="rect">
                      <a:avLst/>
                    </a:prstGeom>
                  </pic:spPr>
                </pic:pic>
              </a:graphicData>
            </a:graphic>
          </wp:inline>
        </w:drawing>
      </w:r>
    </w:p>
    <w:p w14:paraId="05B45E1F" w14:textId="79DFD15C" w:rsidR="00F647BD" w:rsidRDefault="0051368B" w:rsidP="002E5F5B">
      <w:pPr>
        <w:pStyle w:val="Heading1"/>
      </w:pPr>
      <w:r>
        <w:t>Safes for storing Schedule 8 medicines</w:t>
      </w:r>
    </w:p>
    <w:p w14:paraId="7A79E210" w14:textId="35373EE7" w:rsidR="003C1002" w:rsidRDefault="003C1002" w:rsidP="002E5F5B">
      <w:r>
        <w:t xml:space="preserve">This information </w:t>
      </w:r>
      <w:r w:rsidR="00A76A5B">
        <w:t xml:space="preserve">is applicable to any healthcare facility, business or organisation that </w:t>
      </w:r>
      <w:r w:rsidR="00396267">
        <w:t xml:space="preserve">stores </w:t>
      </w:r>
      <w:r w:rsidR="00A76A5B">
        <w:t>Schedule 8 medicines</w:t>
      </w:r>
      <w:r w:rsidR="00396267">
        <w:t xml:space="preserve"> in readiness for supply or use</w:t>
      </w:r>
      <w:r w:rsidR="00311004">
        <w:t>, such as</w:t>
      </w:r>
      <w:r w:rsidR="00EC3A95">
        <w:t>:</w:t>
      </w:r>
    </w:p>
    <w:p w14:paraId="1BA41891" w14:textId="77777777" w:rsidR="003C1002" w:rsidRDefault="003C1002" w:rsidP="003C1002">
      <w:pPr>
        <w:pStyle w:val="ListParagraph"/>
        <w:numPr>
          <w:ilvl w:val="0"/>
          <w:numId w:val="2"/>
        </w:numPr>
      </w:pPr>
      <w:r>
        <w:t>Pharmacies</w:t>
      </w:r>
    </w:p>
    <w:p w14:paraId="5762D637" w14:textId="77777777" w:rsidR="003C1002" w:rsidRDefault="003C1002" w:rsidP="003C1002">
      <w:pPr>
        <w:pStyle w:val="ListParagraph"/>
        <w:numPr>
          <w:ilvl w:val="0"/>
          <w:numId w:val="2"/>
        </w:numPr>
      </w:pPr>
      <w:r>
        <w:t>Medical practices</w:t>
      </w:r>
    </w:p>
    <w:p w14:paraId="348380A4" w14:textId="77777777" w:rsidR="003C1002" w:rsidRDefault="003C1002" w:rsidP="003C1002">
      <w:pPr>
        <w:pStyle w:val="ListParagraph"/>
        <w:numPr>
          <w:ilvl w:val="0"/>
          <w:numId w:val="2"/>
        </w:numPr>
      </w:pPr>
      <w:r>
        <w:t>Day surgeries</w:t>
      </w:r>
    </w:p>
    <w:p w14:paraId="055966EC" w14:textId="547140C8" w:rsidR="003C1002" w:rsidRDefault="003C1002" w:rsidP="003C1002">
      <w:pPr>
        <w:pStyle w:val="ListParagraph"/>
        <w:numPr>
          <w:ilvl w:val="0"/>
          <w:numId w:val="2"/>
        </w:numPr>
      </w:pPr>
      <w:r>
        <w:t>Hospitals</w:t>
      </w:r>
    </w:p>
    <w:p w14:paraId="66C0AF37" w14:textId="77777777" w:rsidR="003C1002" w:rsidRDefault="003C1002" w:rsidP="003C1002">
      <w:pPr>
        <w:pStyle w:val="ListParagraph"/>
        <w:numPr>
          <w:ilvl w:val="0"/>
          <w:numId w:val="2"/>
        </w:numPr>
      </w:pPr>
      <w:r>
        <w:t>Residential care facilities</w:t>
      </w:r>
    </w:p>
    <w:p w14:paraId="17CF1C17" w14:textId="7F755340" w:rsidR="003C1002" w:rsidRDefault="003C1002" w:rsidP="003C1002">
      <w:pPr>
        <w:pStyle w:val="ListParagraph"/>
        <w:numPr>
          <w:ilvl w:val="0"/>
          <w:numId w:val="2"/>
        </w:numPr>
      </w:pPr>
      <w:r>
        <w:t>Dental practices</w:t>
      </w:r>
    </w:p>
    <w:p w14:paraId="178A549D" w14:textId="0BBF3510" w:rsidR="003C1002" w:rsidRDefault="003C1002" w:rsidP="003C1002">
      <w:pPr>
        <w:pStyle w:val="ListParagraph"/>
        <w:numPr>
          <w:ilvl w:val="0"/>
          <w:numId w:val="2"/>
        </w:numPr>
      </w:pPr>
      <w:r>
        <w:t>V</w:t>
      </w:r>
      <w:r w:rsidR="00D3220D">
        <w:t xml:space="preserve">eterinary clinics and hospitals, including </w:t>
      </w:r>
      <w:r>
        <w:t>mobile vets</w:t>
      </w:r>
    </w:p>
    <w:p w14:paraId="5307C798" w14:textId="41635904" w:rsidR="003C1002" w:rsidRDefault="003C1002" w:rsidP="003C1002">
      <w:pPr>
        <w:pStyle w:val="ListParagraph"/>
        <w:numPr>
          <w:ilvl w:val="0"/>
          <w:numId w:val="2"/>
        </w:numPr>
      </w:pPr>
      <w:r>
        <w:t>Remote work</w:t>
      </w:r>
      <w:r w:rsidR="00D3220D">
        <w:t xml:space="preserve"> </w:t>
      </w:r>
      <w:r>
        <w:t>sites</w:t>
      </w:r>
    </w:p>
    <w:p w14:paraId="05B45E20" w14:textId="40A9C53B" w:rsidR="00F647BD" w:rsidRDefault="003C1002" w:rsidP="003C1002">
      <w:pPr>
        <w:pStyle w:val="ListParagraph"/>
        <w:numPr>
          <w:ilvl w:val="0"/>
          <w:numId w:val="2"/>
        </w:numPr>
      </w:pPr>
      <w:r>
        <w:t>Businesses that wholesale Schedule 8 medicines.</w:t>
      </w:r>
    </w:p>
    <w:p w14:paraId="13E91EFB" w14:textId="0E5D0630" w:rsidR="00EE32A2" w:rsidRDefault="00D3220D" w:rsidP="00EE32A2">
      <w:r>
        <w:t xml:space="preserve">Schedule 8 </w:t>
      </w:r>
      <w:r w:rsidR="00311004">
        <w:t xml:space="preserve">(S8) </w:t>
      </w:r>
      <w:r>
        <w:t xml:space="preserve">medicines must </w:t>
      </w:r>
      <w:r w:rsidR="00396267">
        <w:t xml:space="preserve">be stored </w:t>
      </w:r>
      <w:r>
        <w:t>in a safe</w:t>
      </w:r>
      <w:r w:rsidR="006A7558">
        <w:t xml:space="preserve"> or strongroom</w:t>
      </w:r>
      <w:r>
        <w:t>.</w:t>
      </w:r>
      <w:r w:rsidR="006A7558">
        <w:t xml:space="preserve"> Wholesalers require a strongroom. For others,</w:t>
      </w:r>
      <w:r>
        <w:t xml:space="preserve"> either a small or large safe is required</w:t>
      </w:r>
      <w:r w:rsidR="006A7558">
        <w:t>, depending on the amount of S8 medicines stored</w:t>
      </w:r>
      <w:r>
        <w:t xml:space="preserve">. Where larger amounts of </w:t>
      </w:r>
      <w:r w:rsidR="00396267">
        <w:t>S8</w:t>
      </w:r>
      <w:r>
        <w:t xml:space="preserve"> medicines are stored,</w:t>
      </w:r>
      <w:r w:rsidR="00A76A5B">
        <w:t xml:space="preserve"> movement</w:t>
      </w:r>
      <w:r>
        <w:t xml:space="preserve"> detectors </w:t>
      </w:r>
      <w:r w:rsidR="00A76A5B">
        <w:t>covering the safe</w:t>
      </w:r>
      <w:r w:rsidR="00EC3A95">
        <w:t xml:space="preserve"> are </w:t>
      </w:r>
      <w:r>
        <w:t xml:space="preserve">required. </w:t>
      </w:r>
      <w:r w:rsidR="008F0B1A">
        <w:t xml:space="preserve">A safe is not required </w:t>
      </w:r>
      <w:r>
        <w:t>in hospital wards where nurses will be present 24 hours a day, 7 days a week.</w:t>
      </w:r>
    </w:p>
    <w:p w14:paraId="1FFB200A" w14:textId="628E2D72" w:rsidR="00354043" w:rsidRDefault="00396267" w:rsidP="00EE32A2">
      <w:r>
        <w:t>S8</w:t>
      </w:r>
      <w:r w:rsidR="00354043">
        <w:t xml:space="preserve"> medicine storage must be in an area that is not accessible to the public.</w:t>
      </w:r>
    </w:p>
    <w:p w14:paraId="09E777DB" w14:textId="63449126" w:rsidR="00396267" w:rsidRDefault="00396267" w:rsidP="00EE32A2">
      <w:r>
        <w:t>Consumers do not have to store their own S8 medicines in a safe. Secure storage of “patient’s own” S8 medicines is recommended in residential care facilities and hospitals.</w:t>
      </w:r>
    </w:p>
    <w:p w14:paraId="5EDC138B" w14:textId="48F93EFF" w:rsidR="00D3220D" w:rsidRDefault="00D3220D" w:rsidP="00D3220D">
      <w:pPr>
        <w:pStyle w:val="Heading2"/>
      </w:pPr>
      <w:r>
        <w:t>Schedule 8 storage in hospital wards</w:t>
      </w:r>
    </w:p>
    <w:p w14:paraId="57BFA0DB" w14:textId="77777777" w:rsidR="00354043" w:rsidRDefault="00D3220D" w:rsidP="00D3220D">
      <w:r>
        <w:t xml:space="preserve">If a hospital ward is </w:t>
      </w:r>
      <w:r w:rsidR="00354043">
        <w:t xml:space="preserve">closed for certain periods, such as </w:t>
      </w:r>
      <w:r>
        <w:t xml:space="preserve">overnight or </w:t>
      </w:r>
      <w:r w:rsidR="00354043">
        <w:t xml:space="preserve">during weekends, a safe must be used. </w:t>
      </w:r>
    </w:p>
    <w:p w14:paraId="5018AA22" w14:textId="6855A3B9" w:rsidR="00D3220D" w:rsidRPr="00D3220D" w:rsidRDefault="00354043" w:rsidP="00D3220D">
      <w:r>
        <w:t>If the ward operates continuously and always has nurses present, a loc</w:t>
      </w:r>
      <w:r w:rsidR="00EC3A95">
        <w:t>kable hardwood or metal cupboard</w:t>
      </w:r>
      <w:r>
        <w:t xml:space="preserve"> can be used. The c</w:t>
      </w:r>
      <w:r w:rsidR="00EC3A95">
        <w:t>upboard</w:t>
      </w:r>
      <w:r>
        <w:t xml:space="preserve"> must be securely fixed to a wall or floor.</w:t>
      </w:r>
    </w:p>
    <w:p w14:paraId="0631FD57" w14:textId="2C759C53" w:rsidR="00D3220D" w:rsidRDefault="00D3220D" w:rsidP="00D3220D">
      <w:pPr>
        <w:pStyle w:val="Heading2"/>
      </w:pPr>
      <w:r>
        <w:t>Schedule 8 storage in pharmacies</w:t>
      </w:r>
      <w:r w:rsidR="00354043">
        <w:t xml:space="preserve"> (including public hospitals)</w:t>
      </w:r>
    </w:p>
    <w:p w14:paraId="2D719F5D" w14:textId="3AB2EA28" w:rsidR="00354043" w:rsidRDefault="00354043" w:rsidP="00354043">
      <w:r>
        <w:t>Pharmacies must have a large safe, located in an area that is not accessible to the public and covered by a continuously monitored detection device.</w:t>
      </w:r>
    </w:p>
    <w:p w14:paraId="6C1AAEF2" w14:textId="6EB08C89" w:rsidR="00354043" w:rsidRDefault="00354043" w:rsidP="00354043">
      <w:r>
        <w:t>When a pharmacist is on site, a lockable hardwood or metal cupboard or drawer can be used.</w:t>
      </w:r>
    </w:p>
    <w:p w14:paraId="1882DBD7" w14:textId="4C3E53C9" w:rsidR="00D3220D" w:rsidRDefault="00D3220D" w:rsidP="00D3220D">
      <w:pPr>
        <w:pStyle w:val="Heading2"/>
      </w:pPr>
      <w:r>
        <w:t>When can a small safe be used?</w:t>
      </w:r>
    </w:p>
    <w:p w14:paraId="593C059F" w14:textId="66E2FA26" w:rsidR="00A76A5B" w:rsidRPr="00A76A5B" w:rsidRDefault="00A76A5B" w:rsidP="00A76A5B">
      <w:r>
        <w:t xml:space="preserve">When 500 or less human doses of </w:t>
      </w:r>
      <w:r w:rsidR="00396267">
        <w:t>S8</w:t>
      </w:r>
      <w:r>
        <w:t xml:space="preserve"> medicines are being stored, a small safe can be used. If more than 250 human doses are stored, the safe must be covered by continuously monitored movement detectors (compliant with AS 2201.3 </w:t>
      </w:r>
      <w:r w:rsidR="00311004">
        <w:t>:</w:t>
      </w:r>
      <w:r>
        <w:t>1991).</w:t>
      </w:r>
    </w:p>
    <w:p w14:paraId="6F0D82E2" w14:textId="11FBCE21" w:rsidR="00D3220D" w:rsidRDefault="00D3220D" w:rsidP="00D3220D">
      <w:pPr>
        <w:pStyle w:val="Heading2"/>
      </w:pPr>
      <w:r>
        <w:lastRenderedPageBreak/>
        <w:t>When is a large safe required?</w:t>
      </w:r>
    </w:p>
    <w:p w14:paraId="2DDB86D2" w14:textId="5503FDCE" w:rsidR="009F16B7" w:rsidRPr="009F16B7" w:rsidRDefault="009F16B7" w:rsidP="009F16B7">
      <w:r>
        <w:t xml:space="preserve">When more than 500 human doses are stored, a large safe is required. </w:t>
      </w:r>
      <w:r w:rsidR="0057191F">
        <w:t>The safe must be covered by continuously monitored movement detectors (compliant with AS 2201.3</w:t>
      </w:r>
      <w:r w:rsidR="00311004">
        <w:t>:</w:t>
      </w:r>
      <w:r w:rsidR="0057191F">
        <w:t xml:space="preserve">1991). </w:t>
      </w:r>
      <w:r>
        <w:t xml:space="preserve">Pharmacies always require a large safe. Wholesalers </w:t>
      </w:r>
      <w:r w:rsidR="006A7558">
        <w:t>require</w:t>
      </w:r>
      <w:r w:rsidR="0057191F">
        <w:t xml:space="preserve"> a strongroom (meeting resistance grade VII of AS 3809</w:t>
      </w:r>
      <w:r w:rsidR="00311004">
        <w:t>:</w:t>
      </w:r>
      <w:r w:rsidR="0057191F">
        <w:t>1998).</w:t>
      </w:r>
    </w:p>
    <w:p w14:paraId="702D188C" w14:textId="63ACD2E2" w:rsidR="00414632" w:rsidRDefault="00EC3A95" w:rsidP="00D3220D">
      <w:pPr>
        <w:pStyle w:val="Heading2"/>
      </w:pPr>
      <w:r>
        <w:t xml:space="preserve">How to </w:t>
      </w:r>
      <w:r w:rsidR="00414632">
        <w:t xml:space="preserve">calculate the number of doses to </w:t>
      </w:r>
      <w:r w:rsidR="002B3C0B">
        <w:t>determine</w:t>
      </w:r>
      <w:r w:rsidR="00414632">
        <w:t xml:space="preserve"> </w:t>
      </w:r>
      <w:r>
        <w:t>the size of safe required</w:t>
      </w:r>
    </w:p>
    <w:p w14:paraId="7BDD379F" w14:textId="6260B771" w:rsidR="00424C64" w:rsidRDefault="003602CD" w:rsidP="00414632">
      <w:r>
        <w:t xml:space="preserve">Calculations use </w:t>
      </w:r>
      <w:r w:rsidR="00424C64">
        <w:t>human dose</w:t>
      </w:r>
      <w:r w:rsidR="001377B6">
        <w:t>s because the controls over S8 medicines aim to reduce the risk of diversion and misuse by humans.</w:t>
      </w:r>
    </w:p>
    <w:p w14:paraId="6359A4FF" w14:textId="77777777" w:rsidR="001377B6" w:rsidRDefault="001377B6" w:rsidP="00414632">
      <w:r>
        <w:t>Where the medicine is available in divided doses</w:t>
      </w:r>
      <w:r w:rsidR="00414632">
        <w:t>, one dose is simply one tabl</w:t>
      </w:r>
      <w:r>
        <w:t>et, one capsule or one ampoule.</w:t>
      </w:r>
    </w:p>
    <w:p w14:paraId="742800CD" w14:textId="69D85DD3" w:rsidR="00C84750" w:rsidRDefault="001377B6" w:rsidP="00414632">
      <w:r>
        <w:t>For</w:t>
      </w:r>
      <w:r w:rsidR="00414632">
        <w:t xml:space="preserve"> oral liquids or </w:t>
      </w:r>
      <w:r>
        <w:t xml:space="preserve">veterinary </w:t>
      </w:r>
      <w:r w:rsidR="00414632">
        <w:t xml:space="preserve">multi-dose injection vials, you will need to calculate the total number of doses in the bottle or vial. The total quantity of S8 medicine in the bottle or vial should be divided by the smallest </w:t>
      </w:r>
      <w:r w:rsidR="00526D25">
        <w:t xml:space="preserve">equivalent </w:t>
      </w:r>
      <w:r w:rsidR="00414632">
        <w:t xml:space="preserve">human dose of the medicine. </w:t>
      </w:r>
      <w:r>
        <w:t>Examples</w:t>
      </w:r>
      <w:r w:rsidR="00414632">
        <w:t xml:space="preserve"> are as follows:</w:t>
      </w:r>
    </w:p>
    <w:tbl>
      <w:tblPr>
        <w:tblStyle w:val="TableGrid"/>
        <w:tblW w:w="0" w:type="auto"/>
        <w:tblInd w:w="108" w:type="dxa"/>
        <w:tblLook w:val="04A0" w:firstRow="1" w:lastRow="0" w:firstColumn="1" w:lastColumn="0" w:noHBand="0" w:noVBand="1"/>
      </w:tblPr>
      <w:tblGrid>
        <w:gridCol w:w="4577"/>
        <w:gridCol w:w="1670"/>
        <w:gridCol w:w="2092"/>
        <w:gridCol w:w="2089"/>
      </w:tblGrid>
      <w:tr w:rsidR="00414632" w14:paraId="6DE81E2F" w14:textId="77777777" w:rsidTr="00C84750">
        <w:tc>
          <w:tcPr>
            <w:tcW w:w="4678" w:type="dxa"/>
            <w:vAlign w:val="center"/>
          </w:tcPr>
          <w:p w14:paraId="33A30452" w14:textId="74B771C9" w:rsidR="00414632" w:rsidRPr="00A6042A" w:rsidRDefault="00414632" w:rsidP="00414632">
            <w:pPr>
              <w:jc w:val="center"/>
              <w:rPr>
                <w:b/>
                <w:szCs w:val="24"/>
              </w:rPr>
            </w:pPr>
            <w:r w:rsidRPr="00A6042A">
              <w:rPr>
                <w:b/>
                <w:szCs w:val="24"/>
              </w:rPr>
              <w:t>Preparation</w:t>
            </w:r>
          </w:p>
        </w:tc>
        <w:tc>
          <w:tcPr>
            <w:tcW w:w="1701" w:type="dxa"/>
            <w:vAlign w:val="center"/>
          </w:tcPr>
          <w:p w14:paraId="0FE9935C" w14:textId="3C9530B8" w:rsidR="00414632" w:rsidRPr="00A6042A" w:rsidRDefault="00414632" w:rsidP="00414632">
            <w:pPr>
              <w:jc w:val="center"/>
              <w:rPr>
                <w:b/>
                <w:szCs w:val="24"/>
              </w:rPr>
            </w:pPr>
            <w:r w:rsidRPr="00A6042A">
              <w:rPr>
                <w:b/>
                <w:szCs w:val="24"/>
              </w:rPr>
              <w:t>Size of bottle or vial</w:t>
            </w:r>
          </w:p>
        </w:tc>
        <w:tc>
          <w:tcPr>
            <w:tcW w:w="2126" w:type="dxa"/>
            <w:vAlign w:val="center"/>
          </w:tcPr>
          <w:p w14:paraId="0EC6F489" w14:textId="542734F9" w:rsidR="00414632" w:rsidRPr="00A6042A" w:rsidRDefault="00414632" w:rsidP="00C84750">
            <w:pPr>
              <w:jc w:val="center"/>
              <w:rPr>
                <w:b/>
                <w:szCs w:val="24"/>
              </w:rPr>
            </w:pPr>
            <w:r w:rsidRPr="00A6042A">
              <w:rPr>
                <w:b/>
                <w:szCs w:val="24"/>
              </w:rPr>
              <w:t>Smallest human dose</w:t>
            </w:r>
          </w:p>
        </w:tc>
        <w:tc>
          <w:tcPr>
            <w:tcW w:w="2127" w:type="dxa"/>
            <w:vAlign w:val="center"/>
          </w:tcPr>
          <w:p w14:paraId="019FE385" w14:textId="309CE772" w:rsidR="00414632" w:rsidRPr="00A6042A" w:rsidRDefault="00C84750" w:rsidP="00C84750">
            <w:pPr>
              <w:jc w:val="center"/>
              <w:rPr>
                <w:b/>
                <w:szCs w:val="24"/>
              </w:rPr>
            </w:pPr>
            <w:r w:rsidRPr="00A6042A">
              <w:rPr>
                <w:b/>
                <w:szCs w:val="24"/>
              </w:rPr>
              <w:t>Total number of doses</w:t>
            </w:r>
          </w:p>
        </w:tc>
      </w:tr>
      <w:tr w:rsidR="00414632" w14:paraId="3B5E5731" w14:textId="77777777" w:rsidTr="00C84750">
        <w:tc>
          <w:tcPr>
            <w:tcW w:w="4678" w:type="dxa"/>
            <w:vAlign w:val="center"/>
          </w:tcPr>
          <w:p w14:paraId="7CDAEC1B" w14:textId="2E5FFCD4" w:rsidR="00414632" w:rsidRPr="001377B6" w:rsidRDefault="00414632" w:rsidP="00414632">
            <w:pPr>
              <w:jc w:val="center"/>
              <w:rPr>
                <w:szCs w:val="24"/>
              </w:rPr>
            </w:pPr>
            <w:r w:rsidRPr="001377B6">
              <w:rPr>
                <w:szCs w:val="24"/>
              </w:rPr>
              <w:t>Morphine mixture 2 mg per mL</w:t>
            </w:r>
          </w:p>
        </w:tc>
        <w:tc>
          <w:tcPr>
            <w:tcW w:w="1701" w:type="dxa"/>
            <w:vAlign w:val="center"/>
          </w:tcPr>
          <w:p w14:paraId="75A0B6ED" w14:textId="278722A7" w:rsidR="00414632" w:rsidRPr="001377B6" w:rsidRDefault="00414632" w:rsidP="00414632">
            <w:pPr>
              <w:jc w:val="center"/>
              <w:rPr>
                <w:szCs w:val="24"/>
              </w:rPr>
            </w:pPr>
            <w:r w:rsidRPr="001377B6">
              <w:rPr>
                <w:szCs w:val="24"/>
              </w:rPr>
              <w:t>200 mL</w:t>
            </w:r>
          </w:p>
        </w:tc>
        <w:tc>
          <w:tcPr>
            <w:tcW w:w="2126" w:type="dxa"/>
            <w:vAlign w:val="center"/>
          </w:tcPr>
          <w:p w14:paraId="31968A53" w14:textId="33730C6F" w:rsidR="00414632" w:rsidRPr="001377B6" w:rsidRDefault="00414632" w:rsidP="00414632">
            <w:pPr>
              <w:jc w:val="center"/>
              <w:rPr>
                <w:szCs w:val="24"/>
              </w:rPr>
            </w:pPr>
            <w:r w:rsidRPr="001377B6">
              <w:rPr>
                <w:szCs w:val="24"/>
              </w:rPr>
              <w:t>5 mg</w:t>
            </w:r>
          </w:p>
        </w:tc>
        <w:tc>
          <w:tcPr>
            <w:tcW w:w="2127" w:type="dxa"/>
            <w:vAlign w:val="center"/>
          </w:tcPr>
          <w:p w14:paraId="77455F1A" w14:textId="5FB0D9BC" w:rsidR="00414632" w:rsidRPr="001377B6" w:rsidRDefault="00414632" w:rsidP="00414632">
            <w:pPr>
              <w:jc w:val="center"/>
              <w:rPr>
                <w:szCs w:val="24"/>
              </w:rPr>
            </w:pPr>
            <w:r w:rsidRPr="001377B6">
              <w:rPr>
                <w:szCs w:val="24"/>
              </w:rPr>
              <w:t>80</w:t>
            </w:r>
          </w:p>
        </w:tc>
      </w:tr>
      <w:tr w:rsidR="00414632" w14:paraId="179F8839" w14:textId="77777777" w:rsidTr="00C84750">
        <w:tc>
          <w:tcPr>
            <w:tcW w:w="4678" w:type="dxa"/>
            <w:vAlign w:val="center"/>
          </w:tcPr>
          <w:p w14:paraId="2D43B843" w14:textId="1E9DF237" w:rsidR="00414632" w:rsidRPr="001377B6" w:rsidRDefault="00414632" w:rsidP="00414632">
            <w:pPr>
              <w:jc w:val="center"/>
              <w:rPr>
                <w:szCs w:val="24"/>
              </w:rPr>
            </w:pPr>
            <w:r w:rsidRPr="001377B6">
              <w:rPr>
                <w:szCs w:val="24"/>
              </w:rPr>
              <w:t>Morphine mixture 5 mg per mL</w:t>
            </w:r>
          </w:p>
        </w:tc>
        <w:tc>
          <w:tcPr>
            <w:tcW w:w="1701" w:type="dxa"/>
            <w:vAlign w:val="center"/>
          </w:tcPr>
          <w:p w14:paraId="1A00A46E" w14:textId="2C61F78E" w:rsidR="00414632" w:rsidRPr="001377B6" w:rsidRDefault="00414632" w:rsidP="00414632">
            <w:pPr>
              <w:jc w:val="center"/>
              <w:rPr>
                <w:szCs w:val="24"/>
              </w:rPr>
            </w:pPr>
            <w:r w:rsidRPr="001377B6">
              <w:rPr>
                <w:szCs w:val="24"/>
              </w:rPr>
              <w:t>200 mL</w:t>
            </w:r>
          </w:p>
        </w:tc>
        <w:tc>
          <w:tcPr>
            <w:tcW w:w="2126" w:type="dxa"/>
            <w:vAlign w:val="center"/>
          </w:tcPr>
          <w:p w14:paraId="25B0CB62" w14:textId="4562D8AE" w:rsidR="00414632" w:rsidRPr="001377B6" w:rsidRDefault="00414632" w:rsidP="00414632">
            <w:pPr>
              <w:jc w:val="center"/>
              <w:rPr>
                <w:szCs w:val="24"/>
              </w:rPr>
            </w:pPr>
            <w:r w:rsidRPr="001377B6">
              <w:rPr>
                <w:szCs w:val="24"/>
              </w:rPr>
              <w:t>5 mg</w:t>
            </w:r>
          </w:p>
        </w:tc>
        <w:tc>
          <w:tcPr>
            <w:tcW w:w="2127" w:type="dxa"/>
            <w:vAlign w:val="center"/>
          </w:tcPr>
          <w:p w14:paraId="0A7723A8" w14:textId="7C1F59BC" w:rsidR="00414632" w:rsidRPr="001377B6" w:rsidRDefault="00414632" w:rsidP="00414632">
            <w:pPr>
              <w:jc w:val="center"/>
              <w:rPr>
                <w:szCs w:val="24"/>
              </w:rPr>
            </w:pPr>
            <w:r w:rsidRPr="001377B6">
              <w:rPr>
                <w:szCs w:val="24"/>
              </w:rPr>
              <w:t>200</w:t>
            </w:r>
          </w:p>
        </w:tc>
      </w:tr>
      <w:tr w:rsidR="00414632" w14:paraId="3A3D5F71" w14:textId="77777777" w:rsidTr="00C84750">
        <w:tc>
          <w:tcPr>
            <w:tcW w:w="4678" w:type="dxa"/>
            <w:vAlign w:val="center"/>
          </w:tcPr>
          <w:p w14:paraId="5E39C248" w14:textId="59C268EC" w:rsidR="00414632" w:rsidRPr="001377B6" w:rsidRDefault="00414632" w:rsidP="00414632">
            <w:pPr>
              <w:jc w:val="center"/>
              <w:rPr>
                <w:szCs w:val="24"/>
              </w:rPr>
            </w:pPr>
            <w:r w:rsidRPr="001377B6">
              <w:rPr>
                <w:szCs w:val="24"/>
              </w:rPr>
              <w:t>Oxycodone mixture 1 mg per mL</w:t>
            </w:r>
          </w:p>
        </w:tc>
        <w:tc>
          <w:tcPr>
            <w:tcW w:w="1701" w:type="dxa"/>
            <w:vAlign w:val="center"/>
          </w:tcPr>
          <w:p w14:paraId="68DF1A3F" w14:textId="124007AB" w:rsidR="00414632" w:rsidRPr="001377B6" w:rsidRDefault="00414632" w:rsidP="00414632">
            <w:pPr>
              <w:jc w:val="center"/>
              <w:rPr>
                <w:szCs w:val="24"/>
              </w:rPr>
            </w:pPr>
            <w:r w:rsidRPr="001377B6">
              <w:rPr>
                <w:szCs w:val="24"/>
              </w:rPr>
              <w:t>250 mL</w:t>
            </w:r>
          </w:p>
        </w:tc>
        <w:tc>
          <w:tcPr>
            <w:tcW w:w="2126" w:type="dxa"/>
            <w:vAlign w:val="center"/>
          </w:tcPr>
          <w:p w14:paraId="51FED7C6" w14:textId="1F72E75F" w:rsidR="00414632" w:rsidRPr="001377B6" w:rsidRDefault="00414632" w:rsidP="00414632">
            <w:pPr>
              <w:jc w:val="center"/>
              <w:rPr>
                <w:szCs w:val="24"/>
              </w:rPr>
            </w:pPr>
            <w:r w:rsidRPr="001377B6">
              <w:rPr>
                <w:szCs w:val="24"/>
              </w:rPr>
              <w:t>5 mg</w:t>
            </w:r>
          </w:p>
        </w:tc>
        <w:tc>
          <w:tcPr>
            <w:tcW w:w="2127" w:type="dxa"/>
            <w:vAlign w:val="center"/>
          </w:tcPr>
          <w:p w14:paraId="38A8AE8E" w14:textId="3B76D8B9" w:rsidR="00414632" w:rsidRPr="001377B6" w:rsidRDefault="002B3C0B" w:rsidP="00414632">
            <w:pPr>
              <w:jc w:val="center"/>
              <w:rPr>
                <w:szCs w:val="24"/>
              </w:rPr>
            </w:pPr>
            <w:r w:rsidRPr="001377B6">
              <w:rPr>
                <w:szCs w:val="24"/>
              </w:rPr>
              <w:t>50</w:t>
            </w:r>
          </w:p>
        </w:tc>
      </w:tr>
      <w:tr w:rsidR="00414632" w14:paraId="302DE80E" w14:textId="77777777" w:rsidTr="00C84750">
        <w:tc>
          <w:tcPr>
            <w:tcW w:w="4678" w:type="dxa"/>
            <w:vAlign w:val="center"/>
          </w:tcPr>
          <w:p w14:paraId="5F83546E" w14:textId="12C1EFEA" w:rsidR="00414632" w:rsidRPr="001377B6" w:rsidRDefault="002B3C0B" w:rsidP="00414632">
            <w:pPr>
              <w:jc w:val="center"/>
              <w:rPr>
                <w:szCs w:val="24"/>
              </w:rPr>
            </w:pPr>
            <w:r w:rsidRPr="001377B6">
              <w:rPr>
                <w:szCs w:val="24"/>
              </w:rPr>
              <w:t>Hydromorphone mixture 1 mg per mL</w:t>
            </w:r>
          </w:p>
        </w:tc>
        <w:tc>
          <w:tcPr>
            <w:tcW w:w="1701" w:type="dxa"/>
            <w:vAlign w:val="center"/>
          </w:tcPr>
          <w:p w14:paraId="4C4AECC2" w14:textId="351DB143" w:rsidR="00414632" w:rsidRPr="001377B6" w:rsidRDefault="002B3C0B" w:rsidP="00414632">
            <w:pPr>
              <w:jc w:val="center"/>
              <w:rPr>
                <w:szCs w:val="24"/>
              </w:rPr>
            </w:pPr>
            <w:r w:rsidRPr="001377B6">
              <w:rPr>
                <w:szCs w:val="24"/>
              </w:rPr>
              <w:t>473 mL</w:t>
            </w:r>
          </w:p>
        </w:tc>
        <w:tc>
          <w:tcPr>
            <w:tcW w:w="2126" w:type="dxa"/>
            <w:vAlign w:val="center"/>
          </w:tcPr>
          <w:p w14:paraId="71699E6C" w14:textId="4F26153B" w:rsidR="00414632" w:rsidRPr="001377B6" w:rsidRDefault="002B3C0B" w:rsidP="00414632">
            <w:pPr>
              <w:jc w:val="center"/>
              <w:rPr>
                <w:szCs w:val="24"/>
              </w:rPr>
            </w:pPr>
            <w:r w:rsidRPr="001377B6">
              <w:rPr>
                <w:szCs w:val="24"/>
              </w:rPr>
              <w:t>2 mg</w:t>
            </w:r>
          </w:p>
        </w:tc>
        <w:tc>
          <w:tcPr>
            <w:tcW w:w="2127" w:type="dxa"/>
            <w:vAlign w:val="center"/>
          </w:tcPr>
          <w:p w14:paraId="7BEF8E2A" w14:textId="030953A0" w:rsidR="00414632" w:rsidRPr="001377B6" w:rsidRDefault="002B3C0B" w:rsidP="00414632">
            <w:pPr>
              <w:jc w:val="center"/>
              <w:rPr>
                <w:szCs w:val="24"/>
              </w:rPr>
            </w:pPr>
            <w:r w:rsidRPr="001377B6">
              <w:rPr>
                <w:szCs w:val="24"/>
              </w:rPr>
              <w:t>237</w:t>
            </w:r>
          </w:p>
        </w:tc>
      </w:tr>
      <w:tr w:rsidR="00414632" w14:paraId="23F3E209" w14:textId="77777777" w:rsidTr="00C84750">
        <w:tc>
          <w:tcPr>
            <w:tcW w:w="4678" w:type="dxa"/>
            <w:vAlign w:val="center"/>
          </w:tcPr>
          <w:p w14:paraId="6C2C323B" w14:textId="68ED3926" w:rsidR="00414632" w:rsidRPr="001377B6" w:rsidRDefault="002B3C0B" w:rsidP="00414632">
            <w:pPr>
              <w:jc w:val="center"/>
              <w:rPr>
                <w:szCs w:val="24"/>
              </w:rPr>
            </w:pPr>
            <w:r w:rsidRPr="001377B6">
              <w:rPr>
                <w:szCs w:val="24"/>
              </w:rPr>
              <w:t>Codeine linctus 5 mg per mL</w:t>
            </w:r>
          </w:p>
        </w:tc>
        <w:tc>
          <w:tcPr>
            <w:tcW w:w="1701" w:type="dxa"/>
            <w:vAlign w:val="center"/>
          </w:tcPr>
          <w:p w14:paraId="768FF6C5" w14:textId="6FB65399" w:rsidR="00414632" w:rsidRPr="001377B6" w:rsidRDefault="002B3C0B" w:rsidP="00414632">
            <w:pPr>
              <w:jc w:val="center"/>
              <w:rPr>
                <w:szCs w:val="24"/>
              </w:rPr>
            </w:pPr>
            <w:r w:rsidRPr="001377B6">
              <w:rPr>
                <w:szCs w:val="24"/>
              </w:rPr>
              <w:t>100 mL</w:t>
            </w:r>
          </w:p>
        </w:tc>
        <w:tc>
          <w:tcPr>
            <w:tcW w:w="2126" w:type="dxa"/>
            <w:vAlign w:val="center"/>
          </w:tcPr>
          <w:p w14:paraId="0BFACECB" w14:textId="40B20AE5" w:rsidR="00414632" w:rsidRPr="001377B6" w:rsidRDefault="002B3C0B" w:rsidP="00414632">
            <w:pPr>
              <w:jc w:val="center"/>
              <w:rPr>
                <w:szCs w:val="24"/>
              </w:rPr>
            </w:pPr>
            <w:r w:rsidRPr="001377B6">
              <w:rPr>
                <w:szCs w:val="24"/>
              </w:rPr>
              <w:t>5 mL</w:t>
            </w:r>
          </w:p>
        </w:tc>
        <w:tc>
          <w:tcPr>
            <w:tcW w:w="2127" w:type="dxa"/>
            <w:vAlign w:val="center"/>
          </w:tcPr>
          <w:p w14:paraId="2FDBF287" w14:textId="0958C5D7" w:rsidR="00414632" w:rsidRPr="001377B6" w:rsidRDefault="002B3C0B" w:rsidP="00414632">
            <w:pPr>
              <w:jc w:val="center"/>
              <w:rPr>
                <w:szCs w:val="24"/>
              </w:rPr>
            </w:pPr>
            <w:r w:rsidRPr="001377B6">
              <w:rPr>
                <w:szCs w:val="24"/>
              </w:rPr>
              <w:t>20</w:t>
            </w:r>
          </w:p>
        </w:tc>
      </w:tr>
      <w:tr w:rsidR="00414632" w14:paraId="13412520" w14:textId="77777777" w:rsidTr="00C84750">
        <w:tc>
          <w:tcPr>
            <w:tcW w:w="4678" w:type="dxa"/>
            <w:vAlign w:val="center"/>
          </w:tcPr>
          <w:p w14:paraId="5E334790" w14:textId="707EA7A3" w:rsidR="00414632" w:rsidRPr="001377B6" w:rsidRDefault="00526D25" w:rsidP="00A6042A">
            <w:pPr>
              <w:jc w:val="center"/>
              <w:rPr>
                <w:szCs w:val="24"/>
              </w:rPr>
            </w:pPr>
            <w:r w:rsidRPr="001377B6">
              <w:rPr>
                <w:szCs w:val="24"/>
              </w:rPr>
              <w:t xml:space="preserve">Buprenorphine injection 300 mcg per mL </w:t>
            </w:r>
          </w:p>
        </w:tc>
        <w:tc>
          <w:tcPr>
            <w:tcW w:w="1701" w:type="dxa"/>
            <w:vAlign w:val="center"/>
          </w:tcPr>
          <w:p w14:paraId="704D4669" w14:textId="65CB175C" w:rsidR="00414632" w:rsidRPr="001377B6" w:rsidRDefault="00526D25" w:rsidP="00414632">
            <w:pPr>
              <w:jc w:val="center"/>
              <w:rPr>
                <w:szCs w:val="24"/>
              </w:rPr>
            </w:pPr>
            <w:r w:rsidRPr="001377B6">
              <w:rPr>
                <w:szCs w:val="24"/>
              </w:rPr>
              <w:t>10 mL</w:t>
            </w:r>
          </w:p>
        </w:tc>
        <w:tc>
          <w:tcPr>
            <w:tcW w:w="2126" w:type="dxa"/>
            <w:vAlign w:val="center"/>
          </w:tcPr>
          <w:p w14:paraId="5F9327F3" w14:textId="761DB4FB" w:rsidR="00414632" w:rsidRPr="001377B6" w:rsidRDefault="00526D25" w:rsidP="00414632">
            <w:pPr>
              <w:jc w:val="center"/>
              <w:rPr>
                <w:szCs w:val="24"/>
              </w:rPr>
            </w:pPr>
            <w:r w:rsidRPr="001377B6">
              <w:rPr>
                <w:szCs w:val="24"/>
              </w:rPr>
              <w:t>300 mcg</w:t>
            </w:r>
          </w:p>
        </w:tc>
        <w:tc>
          <w:tcPr>
            <w:tcW w:w="2127" w:type="dxa"/>
            <w:vAlign w:val="center"/>
          </w:tcPr>
          <w:p w14:paraId="2B706E38" w14:textId="0B86BB3A" w:rsidR="00414632" w:rsidRPr="001377B6" w:rsidRDefault="00526D25" w:rsidP="00414632">
            <w:pPr>
              <w:jc w:val="center"/>
              <w:rPr>
                <w:szCs w:val="24"/>
              </w:rPr>
            </w:pPr>
            <w:r w:rsidRPr="001377B6">
              <w:rPr>
                <w:szCs w:val="24"/>
              </w:rPr>
              <w:t>10</w:t>
            </w:r>
          </w:p>
        </w:tc>
      </w:tr>
      <w:tr w:rsidR="00414632" w14:paraId="21B34053" w14:textId="77777777" w:rsidTr="00C84750">
        <w:tc>
          <w:tcPr>
            <w:tcW w:w="4678" w:type="dxa"/>
            <w:vAlign w:val="center"/>
          </w:tcPr>
          <w:p w14:paraId="4539FABE" w14:textId="45F20E27" w:rsidR="00414632" w:rsidRPr="001377B6" w:rsidRDefault="00526D25" w:rsidP="00A6042A">
            <w:pPr>
              <w:jc w:val="center"/>
              <w:rPr>
                <w:szCs w:val="24"/>
              </w:rPr>
            </w:pPr>
            <w:r w:rsidRPr="001377B6">
              <w:rPr>
                <w:szCs w:val="24"/>
              </w:rPr>
              <w:t xml:space="preserve">Butorphanol injection 10 mg per mL </w:t>
            </w:r>
          </w:p>
        </w:tc>
        <w:tc>
          <w:tcPr>
            <w:tcW w:w="1701" w:type="dxa"/>
            <w:vAlign w:val="center"/>
          </w:tcPr>
          <w:p w14:paraId="5C5514C0" w14:textId="54265DB6" w:rsidR="00414632" w:rsidRPr="001377B6" w:rsidRDefault="00526D25" w:rsidP="00414632">
            <w:pPr>
              <w:jc w:val="center"/>
              <w:rPr>
                <w:szCs w:val="24"/>
              </w:rPr>
            </w:pPr>
            <w:r w:rsidRPr="001377B6">
              <w:rPr>
                <w:szCs w:val="24"/>
              </w:rPr>
              <w:t>10 mL</w:t>
            </w:r>
          </w:p>
        </w:tc>
        <w:tc>
          <w:tcPr>
            <w:tcW w:w="2126" w:type="dxa"/>
            <w:vAlign w:val="center"/>
          </w:tcPr>
          <w:p w14:paraId="4709FFC3" w14:textId="756DA0AB" w:rsidR="00414632" w:rsidRPr="001377B6" w:rsidRDefault="00C83A29" w:rsidP="00414632">
            <w:pPr>
              <w:jc w:val="center"/>
              <w:rPr>
                <w:szCs w:val="24"/>
              </w:rPr>
            </w:pPr>
            <w:r>
              <w:rPr>
                <w:szCs w:val="24"/>
              </w:rPr>
              <w:t>2</w:t>
            </w:r>
            <w:r w:rsidR="00526D25" w:rsidRPr="001377B6">
              <w:rPr>
                <w:szCs w:val="24"/>
              </w:rPr>
              <w:t xml:space="preserve"> mg</w:t>
            </w:r>
          </w:p>
        </w:tc>
        <w:tc>
          <w:tcPr>
            <w:tcW w:w="2127" w:type="dxa"/>
            <w:vAlign w:val="center"/>
          </w:tcPr>
          <w:p w14:paraId="65A5B8E6" w14:textId="5B28C15A" w:rsidR="00414632" w:rsidRPr="001377B6" w:rsidRDefault="00C83A29" w:rsidP="00414632">
            <w:pPr>
              <w:jc w:val="center"/>
              <w:rPr>
                <w:szCs w:val="24"/>
              </w:rPr>
            </w:pPr>
            <w:r>
              <w:rPr>
                <w:szCs w:val="24"/>
              </w:rPr>
              <w:t>50</w:t>
            </w:r>
          </w:p>
        </w:tc>
      </w:tr>
      <w:tr w:rsidR="002B3C0B" w14:paraId="1DF9CFDB" w14:textId="77777777" w:rsidTr="00C84750">
        <w:tc>
          <w:tcPr>
            <w:tcW w:w="4678" w:type="dxa"/>
            <w:vAlign w:val="center"/>
          </w:tcPr>
          <w:p w14:paraId="0C9E3890" w14:textId="481CCC9B" w:rsidR="002B3C0B" w:rsidRPr="001377B6" w:rsidRDefault="00526D25" w:rsidP="00A6042A">
            <w:pPr>
              <w:jc w:val="center"/>
              <w:rPr>
                <w:szCs w:val="24"/>
              </w:rPr>
            </w:pPr>
            <w:r w:rsidRPr="001377B6">
              <w:rPr>
                <w:szCs w:val="24"/>
              </w:rPr>
              <w:t>Ketamine injection 100 mg per mL</w:t>
            </w:r>
          </w:p>
        </w:tc>
        <w:tc>
          <w:tcPr>
            <w:tcW w:w="1701" w:type="dxa"/>
            <w:vAlign w:val="center"/>
          </w:tcPr>
          <w:p w14:paraId="2CECAD94" w14:textId="447D99A2" w:rsidR="002B3C0B" w:rsidRPr="001377B6" w:rsidRDefault="00526D25" w:rsidP="00414632">
            <w:pPr>
              <w:jc w:val="center"/>
              <w:rPr>
                <w:szCs w:val="24"/>
              </w:rPr>
            </w:pPr>
            <w:r w:rsidRPr="001377B6">
              <w:rPr>
                <w:szCs w:val="24"/>
              </w:rPr>
              <w:t>50 mL</w:t>
            </w:r>
          </w:p>
        </w:tc>
        <w:tc>
          <w:tcPr>
            <w:tcW w:w="2126" w:type="dxa"/>
            <w:vAlign w:val="center"/>
          </w:tcPr>
          <w:p w14:paraId="0ECBC243" w14:textId="217BBE9C" w:rsidR="002B3C0B" w:rsidRPr="001377B6" w:rsidRDefault="00526D25" w:rsidP="00414632">
            <w:pPr>
              <w:jc w:val="center"/>
              <w:rPr>
                <w:szCs w:val="24"/>
              </w:rPr>
            </w:pPr>
            <w:r w:rsidRPr="001377B6">
              <w:rPr>
                <w:szCs w:val="24"/>
              </w:rPr>
              <w:t>200 mg</w:t>
            </w:r>
          </w:p>
        </w:tc>
        <w:tc>
          <w:tcPr>
            <w:tcW w:w="2127" w:type="dxa"/>
            <w:vAlign w:val="center"/>
          </w:tcPr>
          <w:p w14:paraId="39E8405C" w14:textId="234C2996" w:rsidR="002B3C0B" w:rsidRPr="001377B6" w:rsidRDefault="00526D25" w:rsidP="00414632">
            <w:pPr>
              <w:jc w:val="center"/>
              <w:rPr>
                <w:szCs w:val="24"/>
              </w:rPr>
            </w:pPr>
            <w:r w:rsidRPr="001377B6">
              <w:rPr>
                <w:szCs w:val="24"/>
              </w:rPr>
              <w:t>25</w:t>
            </w:r>
          </w:p>
        </w:tc>
      </w:tr>
      <w:tr w:rsidR="002B3C0B" w14:paraId="09D33543" w14:textId="77777777" w:rsidTr="00C84750">
        <w:tc>
          <w:tcPr>
            <w:tcW w:w="4678" w:type="dxa"/>
            <w:vAlign w:val="center"/>
          </w:tcPr>
          <w:p w14:paraId="5BACDD43" w14:textId="683869A5" w:rsidR="002B3C0B" w:rsidRPr="001377B6" w:rsidRDefault="00526D25" w:rsidP="00A6042A">
            <w:pPr>
              <w:jc w:val="center"/>
              <w:rPr>
                <w:szCs w:val="24"/>
              </w:rPr>
            </w:pPr>
            <w:r w:rsidRPr="001377B6">
              <w:rPr>
                <w:szCs w:val="24"/>
              </w:rPr>
              <w:t>Methadone</w:t>
            </w:r>
            <w:r w:rsidR="001377B6" w:rsidRPr="001377B6">
              <w:rPr>
                <w:szCs w:val="24"/>
              </w:rPr>
              <w:t xml:space="preserve"> injection</w:t>
            </w:r>
            <w:r w:rsidRPr="001377B6">
              <w:rPr>
                <w:szCs w:val="24"/>
              </w:rPr>
              <w:t xml:space="preserve"> 10 mg per mL </w:t>
            </w:r>
          </w:p>
        </w:tc>
        <w:tc>
          <w:tcPr>
            <w:tcW w:w="1701" w:type="dxa"/>
            <w:vAlign w:val="center"/>
          </w:tcPr>
          <w:p w14:paraId="11B141CA" w14:textId="47329E2A" w:rsidR="002B3C0B" w:rsidRPr="001377B6" w:rsidRDefault="001377B6" w:rsidP="00414632">
            <w:pPr>
              <w:jc w:val="center"/>
              <w:rPr>
                <w:szCs w:val="24"/>
              </w:rPr>
            </w:pPr>
            <w:r w:rsidRPr="001377B6">
              <w:rPr>
                <w:szCs w:val="24"/>
              </w:rPr>
              <w:t>20 mL</w:t>
            </w:r>
          </w:p>
        </w:tc>
        <w:tc>
          <w:tcPr>
            <w:tcW w:w="2126" w:type="dxa"/>
            <w:vAlign w:val="center"/>
          </w:tcPr>
          <w:p w14:paraId="58358BD1" w14:textId="7BEA9549" w:rsidR="002B3C0B" w:rsidRPr="001377B6" w:rsidRDefault="001377B6" w:rsidP="00414632">
            <w:pPr>
              <w:jc w:val="center"/>
              <w:rPr>
                <w:szCs w:val="24"/>
              </w:rPr>
            </w:pPr>
            <w:r w:rsidRPr="001377B6">
              <w:rPr>
                <w:szCs w:val="24"/>
              </w:rPr>
              <w:t>10 mg</w:t>
            </w:r>
          </w:p>
        </w:tc>
        <w:tc>
          <w:tcPr>
            <w:tcW w:w="2127" w:type="dxa"/>
            <w:vAlign w:val="center"/>
          </w:tcPr>
          <w:p w14:paraId="1941BBED" w14:textId="716DFE2A" w:rsidR="002B3C0B" w:rsidRPr="001377B6" w:rsidRDefault="001377B6" w:rsidP="00414632">
            <w:pPr>
              <w:jc w:val="center"/>
              <w:rPr>
                <w:szCs w:val="24"/>
              </w:rPr>
            </w:pPr>
            <w:r w:rsidRPr="001377B6">
              <w:rPr>
                <w:szCs w:val="24"/>
              </w:rPr>
              <w:t>20</w:t>
            </w:r>
          </w:p>
        </w:tc>
      </w:tr>
    </w:tbl>
    <w:p w14:paraId="2D197CAA" w14:textId="77777777" w:rsidR="008A1ACD" w:rsidRDefault="008A1ACD" w:rsidP="00414632">
      <w:pPr>
        <w:sectPr w:rsidR="008A1ACD" w:rsidSect="00556BA8">
          <w:footerReference w:type="default" r:id="rId9"/>
          <w:headerReference w:type="first" r:id="rId10"/>
          <w:footerReference w:type="first" r:id="rId11"/>
          <w:pgSz w:w="11906" w:h="16838" w:code="9"/>
          <w:pgMar w:top="709" w:right="680" w:bottom="1418" w:left="680" w:header="391" w:footer="454" w:gutter="0"/>
          <w:cols w:space="708"/>
          <w:titlePg/>
          <w:docGrid w:linePitch="360"/>
        </w:sectPr>
      </w:pPr>
    </w:p>
    <w:p w14:paraId="32591B40" w14:textId="77777777" w:rsidR="00C84750" w:rsidRDefault="00C84750" w:rsidP="00C84750"/>
    <w:p w14:paraId="3D3ACCC0" w14:textId="44CCA0F6" w:rsidR="00D3220D" w:rsidRDefault="00414632" w:rsidP="00D3220D">
      <w:pPr>
        <w:pStyle w:val="Heading2"/>
      </w:pPr>
      <w:r>
        <w:t>W</w:t>
      </w:r>
      <w:r w:rsidR="00D3220D">
        <w:t>hat are the specifications for a small safe?</w:t>
      </w:r>
    </w:p>
    <w:p w14:paraId="18F7B507" w14:textId="6B47008E" w:rsidR="009F16B7" w:rsidRDefault="009F16B7" w:rsidP="009F16B7">
      <w:r>
        <w:t>A small safe either:</w:t>
      </w:r>
    </w:p>
    <w:p w14:paraId="71E89B9E" w14:textId="658DBECB" w:rsidR="009F16B7" w:rsidRDefault="009F16B7" w:rsidP="009F16B7">
      <w:pPr>
        <w:pStyle w:val="ListParagraph"/>
        <w:numPr>
          <w:ilvl w:val="0"/>
          <w:numId w:val="3"/>
        </w:numPr>
      </w:pPr>
      <w:r>
        <w:t>meets resistance grading I of AS 3809</w:t>
      </w:r>
      <w:r w:rsidR="00311004">
        <w:t>:</w:t>
      </w:r>
      <w:r>
        <w:t>1998 Safes and strongrooms or</w:t>
      </w:r>
    </w:p>
    <w:p w14:paraId="1DD08148" w14:textId="45E72E2B" w:rsidR="009F16B7" w:rsidRDefault="009F16B7" w:rsidP="009F16B7">
      <w:pPr>
        <w:pStyle w:val="ListParagraph"/>
        <w:numPr>
          <w:ilvl w:val="0"/>
          <w:numId w:val="3"/>
        </w:numPr>
      </w:pPr>
      <w:r>
        <w:t>meets the specifications in Schedule 3</w:t>
      </w:r>
      <w:r w:rsidR="00DF23F0">
        <w:t xml:space="preserve"> </w:t>
      </w:r>
      <w:r>
        <w:t>of the Medicines and Poisons Regulations 2016.</w:t>
      </w:r>
    </w:p>
    <w:p w14:paraId="179710E9" w14:textId="404B66D7" w:rsidR="005258FA" w:rsidRDefault="005258FA" w:rsidP="005258FA">
      <w:r>
        <w:t>Safe specifications include:</w:t>
      </w:r>
    </w:p>
    <w:p w14:paraId="2139C51B" w14:textId="2C16E694" w:rsidR="005258FA" w:rsidRDefault="005258FA" w:rsidP="005258FA">
      <w:pPr>
        <w:pStyle w:val="ListParagraph"/>
        <w:numPr>
          <w:ilvl w:val="0"/>
          <w:numId w:val="5"/>
        </w:numPr>
      </w:pPr>
      <w:r>
        <w:t>cabinet and door made from solid steel plate at least 10 mm thick or a steel skin with concrete fill at least 50 mm thick</w:t>
      </w:r>
    </w:p>
    <w:p w14:paraId="660DCF65" w14:textId="3ADA4110" w:rsidR="0057191F" w:rsidRDefault="0057191F" w:rsidP="005258FA">
      <w:pPr>
        <w:pStyle w:val="ListParagraph"/>
        <w:numPr>
          <w:ilvl w:val="0"/>
          <w:numId w:val="5"/>
        </w:numPr>
      </w:pPr>
      <w:r>
        <w:t>continuous welding of all joints</w:t>
      </w:r>
    </w:p>
    <w:p w14:paraId="0F4D85E9" w14:textId="4A2607AE" w:rsidR="005258FA" w:rsidRDefault="005258FA" w:rsidP="005258FA">
      <w:pPr>
        <w:pStyle w:val="ListParagraph"/>
        <w:numPr>
          <w:ilvl w:val="0"/>
          <w:numId w:val="5"/>
        </w:numPr>
      </w:pPr>
      <w:r>
        <w:t>door fitted flush to cabinet with a maximum 1.5 mm clearance when closed</w:t>
      </w:r>
    </w:p>
    <w:p w14:paraId="42EADF8C" w14:textId="16DF4561" w:rsidR="005258FA" w:rsidRDefault="005258FA" w:rsidP="005258FA">
      <w:pPr>
        <w:pStyle w:val="ListParagraph"/>
        <w:numPr>
          <w:ilvl w:val="0"/>
          <w:numId w:val="5"/>
        </w:numPr>
      </w:pPr>
      <w:r>
        <w:t>hinge system that does not allow the door to open if the hinge is removed</w:t>
      </w:r>
    </w:p>
    <w:p w14:paraId="30016817" w14:textId="0833B672" w:rsidR="005258FA" w:rsidRDefault="005258FA" w:rsidP="005258FA">
      <w:pPr>
        <w:pStyle w:val="ListParagraph"/>
        <w:numPr>
          <w:ilvl w:val="0"/>
          <w:numId w:val="5"/>
        </w:numPr>
      </w:pPr>
      <w:r>
        <w:t>6 lever key lock, 4 wheel combination lock or digital lock providing equivalent security</w:t>
      </w:r>
    </w:p>
    <w:p w14:paraId="47AA7200" w14:textId="23AE3107" w:rsidR="005258FA" w:rsidRDefault="005258FA" w:rsidP="005258FA">
      <w:r>
        <w:lastRenderedPageBreak/>
        <w:t xml:space="preserve">The safe must be securely bolted </w:t>
      </w:r>
      <w:r w:rsidR="00BC63B7">
        <w:t xml:space="preserve">directly </w:t>
      </w:r>
      <w:r>
        <w:t xml:space="preserve">to a concrete floor or concrete or brick wall. </w:t>
      </w:r>
      <w:r w:rsidR="00BC63B7">
        <w:t>Safes cannot be bolted to stands, shelves</w:t>
      </w:r>
      <w:r w:rsidR="00BA3BA1">
        <w:t xml:space="preserve"> or plinths </w:t>
      </w:r>
      <w:r w:rsidR="00BA3BA1" w:rsidRPr="00BA3BA1">
        <w:rPr>
          <w:bCs/>
          <w:iCs/>
        </w:rPr>
        <w:t>that are fixed to the floor or wall.</w:t>
      </w:r>
      <w:r w:rsidR="00BC63B7">
        <w:t xml:space="preserve">  </w:t>
      </w:r>
      <w:r>
        <w:t>Wall studs or floor joists can be used if there is no concrete or brick floor or wall available.</w:t>
      </w:r>
      <w:r w:rsidR="009D14AF">
        <w:t xml:space="preserve"> The bolts used should be four masonry anchors such as </w:t>
      </w:r>
      <w:proofErr w:type="spellStart"/>
      <w:r w:rsidR="009D14AF">
        <w:t>Loxin</w:t>
      </w:r>
      <w:proofErr w:type="spellEnd"/>
      <w:r w:rsidR="009D14AF">
        <w:t xml:space="preserve"> or D</w:t>
      </w:r>
      <w:r w:rsidR="009815C2">
        <w:t>yna Bolts, measuring at least 12</w:t>
      </w:r>
      <w:r w:rsidR="009D14AF">
        <w:t xml:space="preserve"> mm (width) by 50 mm (length).</w:t>
      </w:r>
    </w:p>
    <w:p w14:paraId="0A2A3C9E" w14:textId="02185937" w:rsidR="009F16B7" w:rsidRDefault="009F16B7" w:rsidP="009F16B7">
      <w:r>
        <w:t>Safes described as drug or medicine safes and supplied by specialist safe suppliers and locksmiths will usually meet the requirements. Safes available from general hardware and office supply stores will generally not meet the requirements.</w:t>
      </w:r>
    </w:p>
    <w:p w14:paraId="1CF2A0BE" w14:textId="653F7FDA" w:rsidR="00D3220D" w:rsidRDefault="00D3220D" w:rsidP="00D3220D">
      <w:pPr>
        <w:pStyle w:val="Heading2"/>
      </w:pPr>
      <w:r>
        <w:t>What are the specifications for a large safe?</w:t>
      </w:r>
    </w:p>
    <w:p w14:paraId="47EA4533" w14:textId="3321FE4C" w:rsidR="009F16B7" w:rsidRDefault="009F16B7" w:rsidP="009F16B7">
      <w:r>
        <w:t>A large safe either</w:t>
      </w:r>
      <w:r w:rsidR="00DF23F0">
        <w:t>:</w:t>
      </w:r>
    </w:p>
    <w:p w14:paraId="3A257FED" w14:textId="5AA813CA" w:rsidR="00DF23F0" w:rsidRDefault="00DF23F0" w:rsidP="00DF23F0">
      <w:pPr>
        <w:pStyle w:val="ListParagraph"/>
        <w:numPr>
          <w:ilvl w:val="0"/>
          <w:numId w:val="3"/>
        </w:numPr>
      </w:pPr>
      <w:r>
        <w:t>meets resistance grading I</w:t>
      </w:r>
      <w:r w:rsidR="00311004">
        <w:t>I of AS 3809:</w:t>
      </w:r>
      <w:r>
        <w:t>1998 Safes and strongrooms or</w:t>
      </w:r>
    </w:p>
    <w:p w14:paraId="4BA98A87" w14:textId="6330101E" w:rsidR="00DF23F0" w:rsidRDefault="00DF23F0" w:rsidP="00DF23F0">
      <w:pPr>
        <w:pStyle w:val="ListParagraph"/>
        <w:numPr>
          <w:ilvl w:val="0"/>
          <w:numId w:val="3"/>
        </w:numPr>
      </w:pPr>
      <w:r>
        <w:t>meets the specifications in Schedule 3 of the Medicines and Poisons Regulations 2016.</w:t>
      </w:r>
    </w:p>
    <w:p w14:paraId="79984F79" w14:textId="0F84D6CA" w:rsidR="0057191F" w:rsidRDefault="0057191F" w:rsidP="0057191F">
      <w:r>
        <w:t>Safe specifications additional to small safes include:</w:t>
      </w:r>
    </w:p>
    <w:p w14:paraId="22708AE5" w14:textId="49731E99" w:rsidR="0057191F" w:rsidRDefault="0057191F" w:rsidP="0057191F">
      <w:pPr>
        <w:pStyle w:val="ListParagraph"/>
        <w:numPr>
          <w:ilvl w:val="0"/>
          <w:numId w:val="6"/>
        </w:numPr>
      </w:pPr>
      <w:r>
        <w:t>minimum weight of at least 250 kg</w:t>
      </w:r>
    </w:p>
    <w:p w14:paraId="7630CE9C" w14:textId="50D2DE0B" w:rsidR="0057191F" w:rsidRDefault="0057191F" w:rsidP="0057191F">
      <w:pPr>
        <w:pStyle w:val="ListParagraph"/>
        <w:numPr>
          <w:ilvl w:val="0"/>
          <w:numId w:val="6"/>
        </w:numPr>
      </w:pPr>
      <w:r>
        <w:t>door must be closed by at least 2 locking bolts at least 32 mm in diameter</w:t>
      </w:r>
    </w:p>
    <w:p w14:paraId="6069AB06" w14:textId="599F26BD" w:rsidR="0057191F" w:rsidRDefault="0057191F" w:rsidP="0057191F">
      <w:pPr>
        <w:pStyle w:val="ListParagraph"/>
        <w:numPr>
          <w:ilvl w:val="0"/>
          <w:numId w:val="6"/>
        </w:numPr>
      </w:pPr>
      <w:r>
        <w:t xml:space="preserve">mounting must be </w:t>
      </w:r>
      <w:r w:rsidR="00BC63B7">
        <w:t xml:space="preserve">directly </w:t>
      </w:r>
      <w:r>
        <w:t>to a concrete floor with a bolt of at least 16 mm in diameter. If the safe weighs more than 1 tonne, bolting is not required.</w:t>
      </w:r>
    </w:p>
    <w:p w14:paraId="5849B81E" w14:textId="17318E62" w:rsidR="008A1ACD" w:rsidRDefault="007D009C" w:rsidP="008A1ACD">
      <w:pPr>
        <w:pStyle w:val="ListParagraph"/>
        <w:numPr>
          <w:ilvl w:val="0"/>
          <w:numId w:val="6"/>
        </w:numPr>
      </w:pPr>
      <w:r>
        <w:t>i</w:t>
      </w:r>
      <w:r w:rsidR="0057191F">
        <w:t>nstallation must be by a licensed safe installer.</w:t>
      </w:r>
    </w:p>
    <w:p w14:paraId="52A3E622" w14:textId="73F94004" w:rsidR="00D15AE2" w:rsidRDefault="00D15AE2" w:rsidP="00D15AE2">
      <w:pPr>
        <w:pStyle w:val="Heading2"/>
      </w:pPr>
      <w:r>
        <w:t>Storing doctor’s bag supplies</w:t>
      </w:r>
    </w:p>
    <w:p w14:paraId="779D8F47" w14:textId="1300A306" w:rsidR="00D15AE2" w:rsidRDefault="00D15AE2" w:rsidP="00D15AE2">
      <w:r>
        <w:t>Doctor’s bag S8 medicines left at the surgery when it is closed must be stored in a safe.</w:t>
      </w:r>
    </w:p>
    <w:p w14:paraId="43BBB44C" w14:textId="0156C507" w:rsidR="00D15AE2" w:rsidRDefault="00D15AE2" w:rsidP="00D15AE2">
      <w:r>
        <w:t>When attending patients at home, the S8 medicines must be in the doctor’</w:t>
      </w:r>
      <w:r w:rsidR="00833697">
        <w:t xml:space="preserve">s possession and not </w:t>
      </w:r>
      <w:r>
        <w:t>left in the doctor’s vehicle.</w:t>
      </w:r>
    </w:p>
    <w:p w14:paraId="0025E503" w14:textId="5789EE63" w:rsidR="00D15AE2" w:rsidRDefault="00D15AE2" w:rsidP="00D15AE2">
      <w:pPr>
        <w:pStyle w:val="Heading2"/>
      </w:pPr>
      <w:r>
        <w:t>Storing emergency veterinary supplies</w:t>
      </w:r>
    </w:p>
    <w:p w14:paraId="4158DB40" w14:textId="05A65747" w:rsidR="00D15AE2" w:rsidRDefault="00D15AE2" w:rsidP="00D15AE2">
      <w:r>
        <w:t xml:space="preserve">It is recommended that mobile vets fit a locked container to the body of their vehicle for the transport of veterinary S8 drugs. Where possible, the quantity of drugs carried should be limited to one day’s requirements. </w:t>
      </w:r>
    </w:p>
    <w:p w14:paraId="48CF6607" w14:textId="7FEB13AC" w:rsidR="00D15AE2" w:rsidRPr="00D15AE2" w:rsidRDefault="00833697" w:rsidP="00D15AE2">
      <w:r>
        <w:t>Drugs should</w:t>
      </w:r>
      <w:r w:rsidR="00D15AE2">
        <w:t xml:space="preserve"> not be left in vehicles overnight, even if the vehicle is garaged.</w:t>
      </w:r>
    </w:p>
    <w:p w14:paraId="524DA0DD" w14:textId="77777777" w:rsidR="008A1ACD" w:rsidRDefault="008A1ACD" w:rsidP="008A1ACD">
      <w:pPr>
        <w:pStyle w:val="Heading2"/>
      </w:pPr>
      <w:r>
        <w:t>For more information</w:t>
      </w:r>
    </w:p>
    <w:p w14:paraId="4B382EB1" w14:textId="1A1AA725" w:rsidR="008A1ACD" w:rsidRDefault="008A1ACD" w:rsidP="008A1ACD">
      <w:pPr>
        <w:spacing w:after="120"/>
      </w:pPr>
      <w:r>
        <w:t>Medicines and Poisons Regulation Branch</w:t>
      </w:r>
    </w:p>
    <w:p w14:paraId="07210DCA" w14:textId="6FE8783E" w:rsidR="008A1ACD" w:rsidRDefault="008A1ACD" w:rsidP="008A1ACD">
      <w:pPr>
        <w:spacing w:after="120"/>
      </w:pPr>
      <w:r>
        <w:t>Mailing address: PO Box 8172, Perth Business Centre, WA 6849</w:t>
      </w:r>
    </w:p>
    <w:p w14:paraId="0B8B0917" w14:textId="4356B99E" w:rsidR="008A1ACD" w:rsidRDefault="008A1ACD" w:rsidP="008A1ACD">
      <w:pPr>
        <w:spacing w:after="120"/>
      </w:pPr>
      <w:r>
        <w:t>Phone: 9222 6883</w:t>
      </w:r>
    </w:p>
    <w:p w14:paraId="05B45E2F" w14:textId="35124AEB" w:rsidR="004C2780" w:rsidRDefault="008A1ACD" w:rsidP="007D009C">
      <w:pPr>
        <w:spacing w:after="120"/>
      </w:pPr>
      <w:r>
        <w:t xml:space="preserve">Email: </w:t>
      </w:r>
      <w:hyperlink r:id="rId12" w:history="1">
        <w:r w:rsidR="006A7558" w:rsidRPr="00953349">
          <w:rPr>
            <w:rStyle w:val="Hyperlink"/>
          </w:rPr>
          <w:t>MPRB@health.wa.gov.au</w:t>
        </w:r>
      </w:hyperlink>
    </w:p>
    <w:p w14:paraId="0C35E4C4" w14:textId="19D0DBAF" w:rsidR="006A7558" w:rsidRDefault="006A7558" w:rsidP="007D009C">
      <w:pPr>
        <w:spacing w:after="120"/>
      </w:pPr>
    </w:p>
    <w:p w14:paraId="7C8898E5" w14:textId="4BFC64D6" w:rsidR="006A7558" w:rsidRPr="001F6030" w:rsidRDefault="006A7558" w:rsidP="007D009C">
      <w:pPr>
        <w:spacing w:after="120"/>
      </w:pPr>
      <w:r>
        <w:t>Updated January 2023</w:t>
      </w:r>
    </w:p>
    <w:sectPr w:rsidR="006A7558" w:rsidRPr="001F6030" w:rsidSect="00E12BB0">
      <w:footerReference w:type="default" r:id="rId13"/>
      <w:headerReference w:type="first" r:id="rId14"/>
      <w:footerReference w:type="first" r:id="rId15"/>
      <w:type w:val="continuous"/>
      <w:pgSz w:w="11906" w:h="16838" w:code="9"/>
      <w:pgMar w:top="709" w:right="680" w:bottom="1418" w:left="680" w:header="391" w:footer="459" w:gutter="0"/>
      <w:paperSrc w:first="25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73057" w14:textId="77777777" w:rsidR="00071860" w:rsidRDefault="00071860" w:rsidP="0013662A">
      <w:pPr>
        <w:spacing w:after="0"/>
      </w:pPr>
      <w:r>
        <w:separator/>
      </w:r>
    </w:p>
  </w:endnote>
  <w:endnote w:type="continuationSeparator" w:id="0">
    <w:p w14:paraId="1B30FEC2" w14:textId="77777777" w:rsidR="00071860" w:rsidRDefault="00071860" w:rsidP="001366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Std">
    <w:panose1 w:val="00000000000000000000"/>
    <w:charset w:val="00"/>
    <w:family w:val="swiss"/>
    <w:notTrueType/>
    <w:pitch w:val="variable"/>
    <w:sig w:usb0="800000AF" w:usb1="4000204A" w:usb2="00000000" w:usb3="00000000" w:csb0="00000001" w:csb1="00000000"/>
  </w:font>
  <w:font w:name="ArialMTStd">
    <w:altName w:val="Arial MT Std"/>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6829722"/>
      <w:docPartObj>
        <w:docPartGallery w:val="Page Numbers (Bottom of Page)"/>
        <w:docPartUnique/>
      </w:docPartObj>
    </w:sdtPr>
    <w:sdtEndPr>
      <w:rPr>
        <w:noProof/>
      </w:rPr>
    </w:sdtEndPr>
    <w:sdtContent>
      <w:p w14:paraId="5207D420" w14:textId="6AD45516" w:rsidR="00060851" w:rsidRDefault="00060851" w:rsidP="00060851">
        <w:pPr>
          <w:pStyle w:val="Footer"/>
          <w:tabs>
            <w:tab w:val="clear" w:pos="4513"/>
            <w:tab w:val="center" w:pos="5103"/>
          </w:tabs>
        </w:pPr>
        <w:r w:rsidRPr="00483052">
          <w:rPr>
            <w:color w:val="1B2C5B" w:themeColor="accent1"/>
            <w:sz w:val="28"/>
            <w:szCs w:val="28"/>
          </w:rPr>
          <w:t>health.wa.gov.au</w:t>
        </w:r>
        <w:r>
          <w:rPr>
            <w:color w:val="1B2C5B" w:themeColor="accent1"/>
            <w:sz w:val="28"/>
            <w:szCs w:val="28"/>
          </w:rPr>
          <w:tab/>
        </w:r>
        <w:r w:rsidRPr="00060851">
          <w:rPr>
            <w:szCs w:val="24"/>
          </w:rPr>
          <w:t>2</w:t>
        </w:r>
        <w:r>
          <w:rPr>
            <w:color w:val="1B2C5B" w:themeColor="accent1"/>
            <w:sz w:val="28"/>
            <w:szCs w:val="28"/>
          </w:rPr>
          <w:tab/>
        </w:r>
      </w:p>
    </w:sdtContent>
  </w:sdt>
  <w:p w14:paraId="05B45E39" w14:textId="4CE04019" w:rsidR="00521D1A" w:rsidRPr="00483052" w:rsidRDefault="00521D1A" w:rsidP="00483052">
    <w:pPr>
      <w:pStyle w:val="TEXT"/>
      <w:spacing w:line="240" w:lineRule="auto"/>
      <w:rPr>
        <w:rFonts w:ascii="Arial" w:hAnsi="Arial"/>
        <w:color w:val="1B2C5B" w:themeColor="accent1"/>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45E3B" w14:textId="77777777" w:rsidR="0013662A" w:rsidRPr="00232283" w:rsidRDefault="0013662A" w:rsidP="00232283">
    <w:pPr>
      <w:spacing w:after="240"/>
      <w:rPr>
        <w:b/>
        <w:color w:val="1B2C5B" w:themeColor="accent2"/>
        <w:sz w:val="30"/>
        <w:szCs w:val="3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E8D6B" w14:textId="6733E2AB" w:rsidR="008A1ACD" w:rsidRDefault="008A1ACD" w:rsidP="009B0844">
    <w:pPr>
      <w:spacing w:after="300"/>
      <w:ind w:right="-1"/>
    </w:pPr>
    <w:r>
      <w:t>© Department of Health 201</w:t>
    </w:r>
    <w:r w:rsidR="00060851">
      <w:t>7</w:t>
    </w:r>
  </w:p>
  <w:p w14:paraId="781CDF6E" w14:textId="2153E946" w:rsidR="008A1ACD" w:rsidRPr="00483052" w:rsidRDefault="008A1ACD" w:rsidP="00483052">
    <w:pPr>
      <w:pStyle w:val="TEXT"/>
      <w:spacing w:line="240" w:lineRule="auto"/>
      <w:rPr>
        <w:rFonts w:ascii="Arial" w:hAnsi="Arial"/>
        <w:color w:val="1B2C5B" w:themeColor="accent1"/>
        <w:sz w:val="28"/>
        <w:szCs w:val="28"/>
      </w:rPr>
    </w:pPr>
    <w:r w:rsidRPr="00483052">
      <w:rPr>
        <w:rFonts w:ascii="Arial" w:hAnsi="Arial"/>
        <w:color w:val="1B2C5B" w:themeColor="accent1"/>
        <w:sz w:val="28"/>
        <w:szCs w:val="28"/>
      </w:rPr>
      <w:t>health.wa.gov.au</w:t>
    </w:r>
    <w:r w:rsidR="006820DC">
      <w:rPr>
        <w:rFonts w:ascii="Arial" w:hAnsi="Arial"/>
        <w:color w:val="1B2C5B" w:themeColor="accent1"/>
        <w:sz w:val="28"/>
        <w:szCs w:val="28"/>
      </w:rPr>
      <w:tab/>
    </w:r>
    <w:r w:rsidR="006820DC">
      <w:rPr>
        <w:rFonts w:ascii="Arial" w:hAnsi="Arial"/>
        <w:color w:val="1B2C5B" w:themeColor="accent1"/>
        <w:sz w:val="28"/>
        <w:szCs w:val="28"/>
      </w:rPr>
      <w:tab/>
    </w:r>
    <w:r w:rsidR="006820DC">
      <w:rPr>
        <w:rFonts w:ascii="Arial" w:hAnsi="Arial"/>
        <w:color w:val="1B2C5B" w:themeColor="accent1"/>
        <w:sz w:val="28"/>
        <w:szCs w:val="28"/>
      </w:rPr>
      <w:tab/>
    </w:r>
    <w:r w:rsidR="006820DC">
      <w:rPr>
        <w:rFonts w:ascii="Arial" w:hAnsi="Arial"/>
        <w:color w:val="1B2C5B" w:themeColor="accent1"/>
        <w:sz w:val="28"/>
        <w:szCs w:val="28"/>
      </w:rPr>
      <w:tab/>
    </w:r>
    <w:r w:rsidR="006820DC">
      <w:rPr>
        <w:rFonts w:ascii="Arial" w:hAnsi="Arial"/>
        <w:color w:val="1B2C5B" w:themeColor="accent1"/>
        <w:sz w:val="28"/>
        <w:szCs w:val="28"/>
      </w:rPr>
      <w:tab/>
    </w:r>
    <w:r w:rsidR="00060851" w:rsidRPr="00060851">
      <w:rPr>
        <w:rFonts w:ascii="Arial" w:hAnsi="Arial"/>
        <w:color w:val="auto"/>
      </w:rPr>
      <w:t>3</w:t>
    </w:r>
    <w:r w:rsidR="006820DC">
      <w:rPr>
        <w:rFonts w:ascii="Arial" w:hAnsi="Arial"/>
        <w:color w:val="1B2C5B" w:themeColor="accent1"/>
        <w:sz w:val="28"/>
        <w:szCs w:val="28"/>
      </w:rPr>
      <w:tab/>
    </w:r>
    <w:r w:rsidR="006820DC">
      <w:rPr>
        <w:rFonts w:ascii="Arial" w:hAnsi="Arial"/>
        <w:color w:val="1B2C5B" w:themeColor="accent1"/>
        <w:sz w:val="28"/>
        <w:szCs w:val="28"/>
      </w:rPr>
      <w:tab/>
    </w:r>
    <w:r w:rsidR="006820DC">
      <w:rPr>
        <w:rFonts w:ascii="Arial" w:hAnsi="Arial"/>
        <w:color w:val="1B2C5B" w:themeColor="accent1"/>
        <w:sz w:val="28"/>
        <w:szCs w:val="28"/>
      </w:rPr>
      <w:tab/>
    </w:r>
    <w:r w:rsidR="006820DC">
      <w:rPr>
        <w:rFonts w:ascii="Arial" w:hAnsi="Arial"/>
        <w:color w:val="1B2C5B" w:themeColor="accent1"/>
        <w:sz w:val="28"/>
        <w:szCs w:val="28"/>
      </w:rPr>
      <w:tab/>
    </w:r>
    <w:r w:rsidR="006820DC">
      <w:rPr>
        <w:rFonts w:ascii="Arial" w:hAnsi="Arial"/>
        <w:color w:val="1B2C5B" w:themeColor="accent1"/>
        <w:sz w:val="28"/>
        <w:szCs w:val="28"/>
      </w:rPr>
      <w:tab/>
    </w:r>
    <w:r w:rsidR="006820DC">
      <w:rPr>
        <w:rFonts w:ascii="Arial" w:hAnsi="Arial"/>
        <w:color w:val="1B2C5B" w:themeColor="accent1"/>
        <w:sz w:val="28"/>
        <w:szCs w:val="28"/>
      </w:rPr>
      <w:tab/>
    </w:r>
    <w:r w:rsidR="006820DC" w:rsidRPr="006820DC">
      <w:rPr>
        <w:rFonts w:ascii="Arial" w:hAnsi="Arial"/>
        <w:color w:val="1B2C5B" w:themeColor="accent1"/>
        <w:sz w:val="20"/>
        <w:szCs w:val="20"/>
      </w:rPr>
      <w:t>D00006</w:t>
    </w:r>
    <w:r w:rsidR="00120F79">
      <w:rPr>
        <w:rFonts w:ascii="Arial" w:hAnsi="Arial"/>
        <w:color w:val="1B2C5B" w:themeColor="accent1"/>
        <w:sz w:val="20"/>
        <w:szCs w:val="20"/>
      </w:rPr>
      <w:t>.2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B627C" w14:textId="62C3F573" w:rsidR="00C84750" w:rsidRPr="00C84750" w:rsidRDefault="00C84750" w:rsidP="00C84750">
    <w:pPr>
      <w:pStyle w:val="TEXT"/>
      <w:spacing w:line="240" w:lineRule="auto"/>
      <w:rPr>
        <w:rFonts w:ascii="Arial" w:hAnsi="Arial"/>
        <w:color w:val="1B2C5B" w:themeColor="accent1"/>
        <w:sz w:val="28"/>
        <w:szCs w:val="28"/>
      </w:rPr>
    </w:pPr>
    <w:r w:rsidRPr="00483052">
      <w:rPr>
        <w:rFonts w:ascii="Arial" w:hAnsi="Arial"/>
        <w:color w:val="1B2C5B" w:themeColor="accent1"/>
        <w:sz w:val="28"/>
        <w:szCs w:val="28"/>
      </w:rPr>
      <w:t>health.wa.gov.au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2C198" w14:textId="77777777" w:rsidR="00071860" w:rsidRDefault="00071860" w:rsidP="0013662A">
      <w:pPr>
        <w:spacing w:after="0"/>
      </w:pPr>
      <w:r>
        <w:separator/>
      </w:r>
    </w:p>
  </w:footnote>
  <w:footnote w:type="continuationSeparator" w:id="0">
    <w:p w14:paraId="13C2E76B" w14:textId="77777777" w:rsidR="00071860" w:rsidRDefault="00071860" w:rsidP="001366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45E3A" w14:textId="77777777" w:rsidR="00483052" w:rsidRDefault="00483052">
    <w:pPr>
      <w:pStyle w:val="Header"/>
    </w:pPr>
    <w:r>
      <w:rPr>
        <w:noProof/>
        <w:lang w:eastAsia="en-AU"/>
      </w:rPr>
      <w:drawing>
        <wp:anchor distT="0" distB="0" distL="114300" distR="114300" simplePos="0" relativeHeight="251658240" behindDoc="1" locked="0" layoutInCell="1" allowOverlap="1" wp14:anchorId="05B45E3C" wp14:editId="05B45E3D">
          <wp:simplePos x="0" y="0"/>
          <wp:positionH relativeFrom="page">
            <wp:posOffset>616</wp:posOffset>
          </wp:positionH>
          <wp:positionV relativeFrom="page">
            <wp:posOffset>0</wp:posOffset>
          </wp:positionV>
          <wp:extent cx="7558768" cy="10692000"/>
          <wp:effectExtent l="0" t="0" r="444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yer_base_315.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768" cy="1069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17680" w14:textId="5D6DF926" w:rsidR="00C84750" w:rsidRDefault="00C847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05D50"/>
    <w:multiLevelType w:val="hybridMultilevel"/>
    <w:tmpl w:val="1458C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7B469A5"/>
    <w:multiLevelType w:val="hybridMultilevel"/>
    <w:tmpl w:val="38266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4015A78"/>
    <w:multiLevelType w:val="hybridMultilevel"/>
    <w:tmpl w:val="CAFCD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48A4EF9"/>
    <w:multiLevelType w:val="hybridMultilevel"/>
    <w:tmpl w:val="DB9CA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2F776BD"/>
    <w:multiLevelType w:val="hybridMultilevel"/>
    <w:tmpl w:val="F2B80AF2"/>
    <w:lvl w:ilvl="0" w:tplc="0C090003">
      <w:start w:val="1"/>
      <w:numFmt w:val="bullet"/>
      <w:lvlText w:val="o"/>
      <w:lvlJc w:val="left"/>
      <w:pPr>
        <w:ind w:left="720" w:hanging="360"/>
      </w:pPr>
      <w:rPr>
        <w:rFonts w:ascii="Courier New" w:hAnsi="Courier New" w:cs="Courier New" w:hint="default"/>
        <w:color w:val="1B2C5B"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907624E"/>
    <w:multiLevelType w:val="hybridMultilevel"/>
    <w:tmpl w:val="2D14E7A8"/>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6" w15:restartNumberingAfterBreak="0">
    <w:nsid w:val="7D2558D2"/>
    <w:multiLevelType w:val="hybridMultilevel"/>
    <w:tmpl w:val="90F81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enforcement="0"/>
  <w:defaultTabStop w:val="720"/>
  <w:drawingGridHorizontalSpacing w:val="142"/>
  <w:drawingGridVerticalSpacing w:val="14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7BD"/>
    <w:rsid w:val="000244A9"/>
    <w:rsid w:val="00060851"/>
    <w:rsid w:val="00071860"/>
    <w:rsid w:val="000817F3"/>
    <w:rsid w:val="00120F79"/>
    <w:rsid w:val="0013662A"/>
    <w:rsid w:val="001377B6"/>
    <w:rsid w:val="001437E0"/>
    <w:rsid w:val="00171B7B"/>
    <w:rsid w:val="001C7D1F"/>
    <w:rsid w:val="001F6030"/>
    <w:rsid w:val="001F68E9"/>
    <w:rsid w:val="00204ED3"/>
    <w:rsid w:val="00220E8F"/>
    <w:rsid w:val="00232283"/>
    <w:rsid w:val="002B3C0B"/>
    <w:rsid w:val="002C7D7D"/>
    <w:rsid w:val="002E5F5B"/>
    <w:rsid w:val="00311004"/>
    <w:rsid w:val="00354043"/>
    <w:rsid w:val="00355004"/>
    <w:rsid w:val="003602CD"/>
    <w:rsid w:val="003615B4"/>
    <w:rsid w:val="003929E7"/>
    <w:rsid w:val="00396267"/>
    <w:rsid w:val="003A2B06"/>
    <w:rsid w:val="003C1002"/>
    <w:rsid w:val="00414632"/>
    <w:rsid w:val="00424C64"/>
    <w:rsid w:val="004650F6"/>
    <w:rsid w:val="00466DB9"/>
    <w:rsid w:val="00471692"/>
    <w:rsid w:val="00483052"/>
    <w:rsid w:val="00492C70"/>
    <w:rsid w:val="004A609E"/>
    <w:rsid w:val="004C2780"/>
    <w:rsid w:val="004C27CB"/>
    <w:rsid w:val="004C6976"/>
    <w:rsid w:val="00500783"/>
    <w:rsid w:val="0051368B"/>
    <w:rsid w:val="00521D1A"/>
    <w:rsid w:val="005258FA"/>
    <w:rsid w:val="00526D25"/>
    <w:rsid w:val="00556BA8"/>
    <w:rsid w:val="0056716B"/>
    <w:rsid w:val="0057191F"/>
    <w:rsid w:val="00597A85"/>
    <w:rsid w:val="005A409E"/>
    <w:rsid w:val="005D455D"/>
    <w:rsid w:val="006820DC"/>
    <w:rsid w:val="006A7558"/>
    <w:rsid w:val="006F1E2D"/>
    <w:rsid w:val="006F52D0"/>
    <w:rsid w:val="00735B22"/>
    <w:rsid w:val="00753150"/>
    <w:rsid w:val="0077027C"/>
    <w:rsid w:val="007760FE"/>
    <w:rsid w:val="00794DF0"/>
    <w:rsid w:val="007C3222"/>
    <w:rsid w:val="007D009C"/>
    <w:rsid w:val="007D3AE7"/>
    <w:rsid w:val="007D793C"/>
    <w:rsid w:val="007E562E"/>
    <w:rsid w:val="00833697"/>
    <w:rsid w:val="00856E32"/>
    <w:rsid w:val="00881846"/>
    <w:rsid w:val="00882643"/>
    <w:rsid w:val="00897837"/>
    <w:rsid w:val="008A1ACD"/>
    <w:rsid w:val="008C6F0A"/>
    <w:rsid w:val="008D70AE"/>
    <w:rsid w:val="008E3665"/>
    <w:rsid w:val="008F0B1A"/>
    <w:rsid w:val="008F7FE4"/>
    <w:rsid w:val="009268E4"/>
    <w:rsid w:val="00930DF8"/>
    <w:rsid w:val="00933CEB"/>
    <w:rsid w:val="009668ED"/>
    <w:rsid w:val="009815C2"/>
    <w:rsid w:val="00981DA1"/>
    <w:rsid w:val="00990D6C"/>
    <w:rsid w:val="009B0844"/>
    <w:rsid w:val="009D14AF"/>
    <w:rsid w:val="009F16B7"/>
    <w:rsid w:val="00A6042A"/>
    <w:rsid w:val="00A76A5B"/>
    <w:rsid w:val="00A91C4C"/>
    <w:rsid w:val="00AA1620"/>
    <w:rsid w:val="00AC745D"/>
    <w:rsid w:val="00AE00A2"/>
    <w:rsid w:val="00AF0C79"/>
    <w:rsid w:val="00B17ECC"/>
    <w:rsid w:val="00B85FD3"/>
    <w:rsid w:val="00BA3BA1"/>
    <w:rsid w:val="00BB5682"/>
    <w:rsid w:val="00BC63B7"/>
    <w:rsid w:val="00BD41EB"/>
    <w:rsid w:val="00BD7C33"/>
    <w:rsid w:val="00BE3C2D"/>
    <w:rsid w:val="00C42801"/>
    <w:rsid w:val="00C7143D"/>
    <w:rsid w:val="00C729CE"/>
    <w:rsid w:val="00C83A29"/>
    <w:rsid w:val="00C84750"/>
    <w:rsid w:val="00CA70D5"/>
    <w:rsid w:val="00CF2778"/>
    <w:rsid w:val="00CF64E2"/>
    <w:rsid w:val="00D147D4"/>
    <w:rsid w:val="00D15AE2"/>
    <w:rsid w:val="00D3220D"/>
    <w:rsid w:val="00D636EE"/>
    <w:rsid w:val="00D9301F"/>
    <w:rsid w:val="00DB217C"/>
    <w:rsid w:val="00DD22D0"/>
    <w:rsid w:val="00DE4BFE"/>
    <w:rsid w:val="00DF1845"/>
    <w:rsid w:val="00DF23F0"/>
    <w:rsid w:val="00E12BB0"/>
    <w:rsid w:val="00E40563"/>
    <w:rsid w:val="00E47483"/>
    <w:rsid w:val="00E775B0"/>
    <w:rsid w:val="00EC3A95"/>
    <w:rsid w:val="00EE32A2"/>
    <w:rsid w:val="00F647BD"/>
    <w:rsid w:val="00F874FB"/>
    <w:rsid w:val="00FF0D8D"/>
    <w:rsid w:val="00FF19AF"/>
    <w:rsid w:val="00FF48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B45E1E"/>
  <w15:docId w15:val="{82119E4A-D434-4BD9-BD32-25CECAC4A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A91C4C"/>
    <w:pPr>
      <w:spacing w:after="170" w:line="240" w:lineRule="auto"/>
    </w:pPr>
    <w:rPr>
      <w:rFonts w:ascii="Arial" w:hAnsi="Arial"/>
      <w:sz w:val="24"/>
    </w:rPr>
  </w:style>
  <w:style w:type="paragraph" w:styleId="Heading1">
    <w:name w:val="heading 1"/>
    <w:basedOn w:val="Normal"/>
    <w:next w:val="Normal"/>
    <w:link w:val="Heading1Char"/>
    <w:uiPriority w:val="9"/>
    <w:qFormat/>
    <w:rsid w:val="00753150"/>
    <w:pPr>
      <w:keepNext/>
      <w:keepLines/>
      <w:spacing w:before="480" w:after="480"/>
      <w:outlineLvl w:val="0"/>
    </w:pPr>
    <w:rPr>
      <w:rFonts w:eastAsiaTheme="majorEastAsia" w:cstheme="majorBidi"/>
      <w:bCs/>
      <w:color w:val="1B2C5B" w:themeColor="accent1"/>
      <w:sz w:val="64"/>
      <w:szCs w:val="28"/>
    </w:rPr>
  </w:style>
  <w:style w:type="paragraph" w:styleId="Heading2">
    <w:name w:val="heading 2"/>
    <w:basedOn w:val="Normal"/>
    <w:next w:val="Normal"/>
    <w:link w:val="Heading2Char"/>
    <w:uiPriority w:val="9"/>
    <w:qFormat/>
    <w:rsid w:val="002E5F5B"/>
    <w:pPr>
      <w:keepNext/>
      <w:keepLines/>
      <w:spacing w:before="280" w:after="100"/>
      <w:outlineLvl w:val="1"/>
    </w:pPr>
    <w:rPr>
      <w:rFonts w:eastAsiaTheme="majorEastAsia" w:cstheme="majorBidi"/>
      <w:b/>
      <w:bCs/>
      <w:color w:val="1B2C5B" w:themeColor="accent1"/>
      <w:sz w:val="30"/>
      <w:szCs w:val="26"/>
    </w:rPr>
  </w:style>
  <w:style w:type="paragraph" w:styleId="Heading3">
    <w:name w:val="heading 3"/>
    <w:basedOn w:val="Normal"/>
    <w:next w:val="Normal"/>
    <w:link w:val="Heading3Char"/>
    <w:uiPriority w:val="9"/>
    <w:qFormat/>
    <w:rsid w:val="0013662A"/>
    <w:pPr>
      <w:keepNext/>
      <w:keepLines/>
      <w:spacing w:before="260" w:after="100"/>
      <w:outlineLvl w:val="2"/>
    </w:pPr>
    <w:rPr>
      <w:rFonts w:eastAsiaTheme="majorEastAsia" w:cstheme="majorBidi"/>
      <w:b/>
      <w:bCs/>
      <w:color w:val="1B2C5B" w:themeColor="accent1"/>
      <w:sz w:val="26"/>
    </w:rPr>
  </w:style>
  <w:style w:type="paragraph" w:styleId="Heading4">
    <w:name w:val="heading 4"/>
    <w:basedOn w:val="Normal"/>
    <w:next w:val="Normal"/>
    <w:link w:val="Heading4Char"/>
    <w:uiPriority w:val="9"/>
    <w:rsid w:val="00171B7B"/>
    <w:pPr>
      <w:keepNext/>
      <w:keepLines/>
      <w:spacing w:before="240" w:after="60"/>
      <w:outlineLvl w:val="3"/>
    </w:pPr>
    <w:rPr>
      <w:rFonts w:eastAsiaTheme="majorEastAsia" w:cstheme="majorBidi"/>
      <w:b/>
      <w:bCs/>
      <w:iCs/>
      <w:color w:val="757477" w:themeColor="text2"/>
    </w:rPr>
  </w:style>
  <w:style w:type="paragraph" w:styleId="Heading5">
    <w:name w:val="heading 5"/>
    <w:basedOn w:val="Normal"/>
    <w:next w:val="Normal"/>
    <w:link w:val="Heading5Char"/>
    <w:uiPriority w:val="9"/>
    <w:semiHidden/>
    <w:qFormat/>
    <w:rsid w:val="00A91C4C"/>
    <w:pPr>
      <w:keepNext/>
      <w:keepLines/>
      <w:spacing w:before="200" w:after="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qFormat/>
    <w:rsid w:val="00A91C4C"/>
    <w:pPr>
      <w:keepNext/>
      <w:keepLines/>
      <w:spacing w:before="200" w:after="0"/>
      <w:outlineLvl w:val="5"/>
    </w:pPr>
    <w:rPr>
      <w:rFonts w:eastAsiaTheme="majorEastAsia" w:cstheme="majorBidi"/>
      <w:i/>
      <w:iCs/>
      <w:color w:val="000000" w:themeColor="text1"/>
    </w:rPr>
  </w:style>
  <w:style w:type="paragraph" w:styleId="Heading7">
    <w:name w:val="heading 7"/>
    <w:basedOn w:val="Normal"/>
    <w:next w:val="Normal"/>
    <w:link w:val="Heading7Char"/>
    <w:uiPriority w:val="9"/>
    <w:semiHidden/>
    <w:qFormat/>
    <w:rsid w:val="00A91C4C"/>
    <w:pPr>
      <w:keepNext/>
      <w:keepLines/>
      <w:spacing w:before="200" w:after="0"/>
      <w:outlineLvl w:val="6"/>
    </w:pPr>
    <w:rPr>
      <w:rFonts w:eastAsiaTheme="majorEastAsia" w:cstheme="majorBidi"/>
      <w:i/>
      <w:iCs/>
      <w:color w:val="000000" w:themeColor="text1"/>
    </w:rPr>
  </w:style>
  <w:style w:type="paragraph" w:styleId="Heading8">
    <w:name w:val="heading 8"/>
    <w:basedOn w:val="Normal"/>
    <w:next w:val="Normal"/>
    <w:link w:val="Heading8Char"/>
    <w:uiPriority w:val="9"/>
    <w:semiHidden/>
    <w:qFormat/>
    <w:rsid w:val="00A91C4C"/>
    <w:pPr>
      <w:keepNext/>
      <w:keepLines/>
      <w:spacing w:before="200" w:after="0"/>
      <w:outlineLvl w:val="7"/>
    </w:pPr>
    <w:rPr>
      <w:rFonts w:eastAsiaTheme="majorEastAsia" w:cstheme="majorBidi"/>
      <w:color w:val="000000" w:themeColor="text1"/>
      <w:szCs w:val="20"/>
    </w:rPr>
  </w:style>
  <w:style w:type="paragraph" w:styleId="Heading9">
    <w:name w:val="heading 9"/>
    <w:basedOn w:val="Normal"/>
    <w:next w:val="Normal"/>
    <w:link w:val="Heading9Char"/>
    <w:uiPriority w:val="9"/>
    <w:semiHidden/>
    <w:qFormat/>
    <w:rsid w:val="00A91C4C"/>
    <w:pPr>
      <w:keepNext/>
      <w:keepLines/>
      <w:spacing w:before="200" w:after="0"/>
      <w:outlineLvl w:val="8"/>
    </w:pPr>
    <w:rPr>
      <w:rFonts w:eastAsiaTheme="majorEastAsia" w:cstheme="majorBidi"/>
      <w: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A91C4C"/>
    <w:rPr>
      <w:rFonts w:ascii="Arial" w:eastAsiaTheme="majorEastAsia" w:hAnsi="Arial" w:cstheme="majorBidi"/>
      <w:color w:val="000000" w:themeColor="text1"/>
      <w:sz w:val="24"/>
    </w:rPr>
  </w:style>
  <w:style w:type="paragraph" w:customStyle="1" w:styleId="Headlines">
    <w:name w:val="Headlines"/>
    <w:basedOn w:val="Normal"/>
    <w:next w:val="Normal"/>
    <w:rsid w:val="004C2780"/>
    <w:pPr>
      <w:spacing w:before="240" w:after="660"/>
    </w:pPr>
    <w:rPr>
      <w:b/>
      <w:color w:val="000000" w:themeColor="text1"/>
      <w:sz w:val="60"/>
    </w:rPr>
  </w:style>
  <w:style w:type="paragraph" w:styleId="ListParagraph">
    <w:name w:val="List Paragraph"/>
    <w:basedOn w:val="Normal"/>
    <w:uiPriority w:val="34"/>
    <w:semiHidden/>
    <w:qFormat/>
    <w:rsid w:val="00171B7B"/>
    <w:pPr>
      <w:ind w:left="720"/>
      <w:contextualSpacing/>
    </w:pPr>
  </w:style>
  <w:style w:type="character" w:customStyle="1" w:styleId="Italics">
    <w:name w:val="Italics"/>
    <w:uiPriority w:val="2"/>
    <w:rsid w:val="00897837"/>
    <w:rPr>
      <w:i/>
    </w:rPr>
  </w:style>
  <w:style w:type="character" w:customStyle="1" w:styleId="Bold">
    <w:name w:val="Bold"/>
    <w:uiPriority w:val="2"/>
    <w:rsid w:val="008F7FE4"/>
    <w:rPr>
      <w:b/>
    </w:rPr>
  </w:style>
  <w:style w:type="character" w:customStyle="1" w:styleId="Heading1Char">
    <w:name w:val="Heading 1 Char"/>
    <w:basedOn w:val="DefaultParagraphFont"/>
    <w:link w:val="Heading1"/>
    <w:uiPriority w:val="9"/>
    <w:rsid w:val="00753150"/>
    <w:rPr>
      <w:rFonts w:ascii="Arial" w:eastAsiaTheme="majorEastAsia" w:hAnsi="Arial" w:cstheme="majorBidi"/>
      <w:bCs/>
      <w:color w:val="1B2C5B" w:themeColor="accent1"/>
      <w:sz w:val="64"/>
      <w:szCs w:val="28"/>
    </w:rPr>
  </w:style>
  <w:style w:type="character" w:customStyle="1" w:styleId="Heading2Char">
    <w:name w:val="Heading 2 Char"/>
    <w:basedOn w:val="DefaultParagraphFont"/>
    <w:link w:val="Heading2"/>
    <w:uiPriority w:val="9"/>
    <w:rsid w:val="002E5F5B"/>
    <w:rPr>
      <w:rFonts w:ascii="Arial" w:eastAsiaTheme="majorEastAsia" w:hAnsi="Arial" w:cstheme="majorBidi"/>
      <w:b/>
      <w:bCs/>
      <w:color w:val="1B2C5B" w:themeColor="accent1"/>
      <w:sz w:val="30"/>
      <w:szCs w:val="26"/>
    </w:rPr>
  </w:style>
  <w:style w:type="character" w:customStyle="1" w:styleId="Heading3Char">
    <w:name w:val="Heading 3 Char"/>
    <w:basedOn w:val="DefaultParagraphFont"/>
    <w:link w:val="Heading3"/>
    <w:uiPriority w:val="9"/>
    <w:rsid w:val="0013662A"/>
    <w:rPr>
      <w:rFonts w:ascii="Arial" w:eastAsiaTheme="majorEastAsia" w:hAnsi="Arial" w:cstheme="majorBidi"/>
      <w:b/>
      <w:bCs/>
      <w:color w:val="1B2C5B" w:themeColor="accent1"/>
      <w:sz w:val="26"/>
    </w:rPr>
  </w:style>
  <w:style w:type="character" w:customStyle="1" w:styleId="Heading4Char">
    <w:name w:val="Heading 4 Char"/>
    <w:basedOn w:val="DefaultParagraphFont"/>
    <w:link w:val="Heading4"/>
    <w:uiPriority w:val="9"/>
    <w:rsid w:val="00171B7B"/>
    <w:rPr>
      <w:rFonts w:ascii="Arial" w:eastAsiaTheme="majorEastAsia" w:hAnsi="Arial" w:cstheme="majorBidi"/>
      <w:b/>
      <w:bCs/>
      <w:iCs/>
      <w:color w:val="757477" w:themeColor="text2"/>
      <w:sz w:val="24"/>
    </w:rPr>
  </w:style>
  <w:style w:type="paragraph" w:styleId="TOCHeading">
    <w:name w:val="TOC Heading"/>
    <w:basedOn w:val="Heading1"/>
    <w:next w:val="Normal"/>
    <w:uiPriority w:val="39"/>
    <w:semiHidden/>
    <w:unhideWhenUsed/>
    <w:qFormat/>
    <w:rsid w:val="00981DA1"/>
    <w:pPr>
      <w:spacing w:after="0" w:line="276" w:lineRule="auto"/>
      <w:outlineLvl w:val="9"/>
    </w:pPr>
    <w:rPr>
      <w:rFonts w:asciiTheme="majorHAnsi" w:hAnsiTheme="majorHAnsi"/>
      <w:color w:val="142044" w:themeColor="accent1" w:themeShade="BF"/>
      <w:sz w:val="28"/>
      <w:lang w:val="en-US" w:eastAsia="ja-JP"/>
    </w:rPr>
  </w:style>
  <w:style w:type="paragraph" w:styleId="TOC1">
    <w:name w:val="toc 1"/>
    <w:basedOn w:val="Normal"/>
    <w:next w:val="Normal"/>
    <w:autoRedefine/>
    <w:uiPriority w:val="39"/>
    <w:rsid w:val="00DE4BFE"/>
    <w:pPr>
      <w:spacing w:after="100"/>
    </w:pPr>
    <w:rPr>
      <w:b/>
      <w:color w:val="000000" w:themeColor="text1"/>
    </w:rPr>
  </w:style>
  <w:style w:type="paragraph" w:styleId="TOC2">
    <w:name w:val="toc 2"/>
    <w:basedOn w:val="Normal"/>
    <w:next w:val="Normal"/>
    <w:autoRedefine/>
    <w:uiPriority w:val="39"/>
    <w:rsid w:val="00171B7B"/>
    <w:pPr>
      <w:spacing w:after="100"/>
      <w:ind w:left="240"/>
    </w:pPr>
    <w:rPr>
      <w:color w:val="000000" w:themeColor="text1"/>
    </w:rPr>
  </w:style>
  <w:style w:type="paragraph" w:styleId="TOC3">
    <w:name w:val="toc 3"/>
    <w:basedOn w:val="Normal"/>
    <w:next w:val="Normal"/>
    <w:autoRedefine/>
    <w:uiPriority w:val="39"/>
    <w:rsid w:val="00DE4BFE"/>
    <w:pPr>
      <w:spacing w:after="100"/>
      <w:ind w:left="480"/>
    </w:pPr>
    <w:rPr>
      <w:color w:val="000000" w:themeColor="text1"/>
    </w:rPr>
  </w:style>
  <w:style w:type="character" w:styleId="Hyperlink">
    <w:name w:val="Hyperlink"/>
    <w:basedOn w:val="DefaultParagraphFont"/>
    <w:uiPriority w:val="99"/>
    <w:unhideWhenUsed/>
    <w:rsid w:val="00990D6C"/>
    <w:rPr>
      <w:rFonts w:ascii="Arial" w:hAnsi="Arial"/>
      <w:color w:val="004B8D"/>
      <w:sz w:val="24"/>
      <w:u w:val="single"/>
    </w:rPr>
  </w:style>
  <w:style w:type="paragraph" w:styleId="BalloonText">
    <w:name w:val="Balloon Text"/>
    <w:basedOn w:val="Normal"/>
    <w:link w:val="BalloonTextChar"/>
    <w:uiPriority w:val="99"/>
    <w:semiHidden/>
    <w:rsid w:val="00981D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DA1"/>
    <w:rPr>
      <w:rFonts w:ascii="Tahoma" w:hAnsi="Tahoma" w:cs="Tahoma"/>
      <w:sz w:val="16"/>
      <w:szCs w:val="16"/>
    </w:rPr>
  </w:style>
  <w:style w:type="character" w:customStyle="1" w:styleId="Heading6Char">
    <w:name w:val="Heading 6 Char"/>
    <w:basedOn w:val="DefaultParagraphFont"/>
    <w:link w:val="Heading6"/>
    <w:uiPriority w:val="9"/>
    <w:semiHidden/>
    <w:rsid w:val="00A91C4C"/>
    <w:rPr>
      <w:rFonts w:ascii="Arial" w:eastAsiaTheme="majorEastAsia" w:hAnsi="Arial" w:cstheme="majorBidi"/>
      <w:i/>
      <w:iCs/>
      <w:color w:val="000000" w:themeColor="text1"/>
      <w:sz w:val="24"/>
    </w:rPr>
  </w:style>
  <w:style w:type="character" w:customStyle="1" w:styleId="Heading7Char">
    <w:name w:val="Heading 7 Char"/>
    <w:basedOn w:val="DefaultParagraphFont"/>
    <w:link w:val="Heading7"/>
    <w:uiPriority w:val="9"/>
    <w:semiHidden/>
    <w:rsid w:val="00A91C4C"/>
    <w:rPr>
      <w:rFonts w:ascii="Arial" w:eastAsiaTheme="majorEastAsia" w:hAnsi="Arial" w:cstheme="majorBidi"/>
      <w:i/>
      <w:iCs/>
      <w:color w:val="000000" w:themeColor="text1"/>
      <w:sz w:val="24"/>
    </w:rPr>
  </w:style>
  <w:style w:type="character" w:customStyle="1" w:styleId="Heading8Char">
    <w:name w:val="Heading 8 Char"/>
    <w:basedOn w:val="DefaultParagraphFont"/>
    <w:link w:val="Heading8"/>
    <w:uiPriority w:val="9"/>
    <w:semiHidden/>
    <w:rsid w:val="00A91C4C"/>
    <w:rPr>
      <w:rFonts w:ascii="Arial" w:eastAsiaTheme="majorEastAsia" w:hAnsi="Arial" w:cstheme="majorBidi"/>
      <w:color w:val="000000" w:themeColor="text1"/>
      <w:sz w:val="24"/>
      <w:szCs w:val="20"/>
    </w:rPr>
  </w:style>
  <w:style w:type="character" w:customStyle="1" w:styleId="Heading9Char">
    <w:name w:val="Heading 9 Char"/>
    <w:basedOn w:val="DefaultParagraphFont"/>
    <w:link w:val="Heading9"/>
    <w:uiPriority w:val="9"/>
    <w:semiHidden/>
    <w:rsid w:val="00A91C4C"/>
    <w:rPr>
      <w:rFonts w:ascii="Arial" w:eastAsiaTheme="majorEastAsia" w:hAnsi="Arial" w:cstheme="majorBidi"/>
      <w:i/>
      <w:iCs/>
      <w:color w:val="000000" w:themeColor="text1"/>
      <w:sz w:val="24"/>
      <w:szCs w:val="20"/>
    </w:rPr>
  </w:style>
  <w:style w:type="table" w:styleId="TableGrid">
    <w:name w:val="Table Grid"/>
    <w:basedOn w:val="TableNormal"/>
    <w:uiPriority w:val="59"/>
    <w:rsid w:val="001F6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LightShading-Accent1"/>
    <w:uiPriority w:val="99"/>
    <w:rsid w:val="00930DF8"/>
    <w:rPr>
      <w:rFonts w:ascii="Arial" w:hAnsi="Arial"/>
      <w:color w:val="000000" w:themeColor="text1"/>
      <w:sz w:val="24"/>
      <w:szCs w:val="20"/>
      <w:lang w:eastAsia="en-AU"/>
    </w:rPr>
    <w:tblPr/>
    <w:tblStylePr w:type="firstRow">
      <w:pPr>
        <w:spacing w:before="0" w:after="0" w:line="240" w:lineRule="auto"/>
      </w:pPr>
      <w:rPr>
        <w:b/>
        <w:bCs/>
      </w:rPr>
      <w:tblPr/>
      <w:trPr>
        <w:tblHeader/>
      </w:trPr>
      <w:tcPr>
        <w:tcBorders>
          <w:top w:val="single" w:sz="8" w:space="0" w:color="1B2C5B" w:themeColor="accent1"/>
          <w:left w:val="nil"/>
          <w:bottom w:val="single" w:sz="8" w:space="0" w:color="1B2C5B" w:themeColor="accent1"/>
          <w:right w:val="nil"/>
          <w:insideH w:val="nil"/>
          <w:insideV w:val="nil"/>
        </w:tcBorders>
      </w:tcPr>
    </w:tblStylePr>
    <w:tblStylePr w:type="lastRow">
      <w:pPr>
        <w:spacing w:before="0" w:after="0" w:line="240" w:lineRule="auto"/>
      </w:pPr>
      <w:rPr>
        <w:b/>
        <w:bCs/>
      </w:rPr>
      <w:tblPr/>
      <w:tcPr>
        <w:tcBorders>
          <w:top w:val="single" w:sz="8" w:space="0" w:color="1B2C5B" w:themeColor="accent1"/>
          <w:left w:val="nil"/>
          <w:bottom w:val="single" w:sz="8" w:space="0" w:color="1B2C5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C2E8" w:themeFill="accent1" w:themeFillTint="3F"/>
      </w:tcPr>
    </w:tblStylePr>
    <w:tblStylePr w:type="band1Horz">
      <w:tblPr/>
      <w:tcPr>
        <w:tcBorders>
          <w:left w:val="nil"/>
          <w:right w:val="nil"/>
          <w:insideH w:val="nil"/>
          <w:insideV w:val="nil"/>
        </w:tcBorders>
        <w:shd w:val="clear" w:color="auto" w:fill="1B2C5B" w:themeFill="accent2"/>
      </w:tcPr>
    </w:tblStylePr>
  </w:style>
  <w:style w:type="table" w:styleId="LightList-Accent1">
    <w:name w:val="Light List Accent 1"/>
    <w:basedOn w:val="TableNormal"/>
    <w:uiPriority w:val="61"/>
    <w:rsid w:val="001F68E9"/>
    <w:pPr>
      <w:spacing w:after="0" w:line="240" w:lineRule="auto"/>
    </w:pPr>
    <w:tblPr>
      <w:tblStyleRowBandSize w:val="1"/>
      <w:tblStyleColBandSize w:val="1"/>
      <w:tblBorders>
        <w:top w:val="single" w:sz="8" w:space="0" w:color="1B2C5B" w:themeColor="accent1"/>
        <w:left w:val="single" w:sz="8" w:space="0" w:color="1B2C5B" w:themeColor="accent1"/>
        <w:bottom w:val="single" w:sz="8" w:space="0" w:color="1B2C5B" w:themeColor="accent1"/>
        <w:right w:val="single" w:sz="8" w:space="0" w:color="1B2C5B" w:themeColor="accent1"/>
      </w:tblBorders>
    </w:tblPr>
    <w:tblStylePr w:type="firstRow">
      <w:pPr>
        <w:spacing w:before="0" w:after="0" w:line="240" w:lineRule="auto"/>
      </w:pPr>
      <w:rPr>
        <w:b/>
        <w:bCs/>
        <w:color w:val="FFFFFF" w:themeColor="background1"/>
      </w:rPr>
      <w:tblPr/>
      <w:tcPr>
        <w:shd w:val="clear" w:color="auto" w:fill="1B2C5B" w:themeFill="accent1"/>
      </w:tcPr>
    </w:tblStylePr>
    <w:tblStylePr w:type="lastRow">
      <w:pPr>
        <w:spacing w:before="0" w:after="0" w:line="240" w:lineRule="auto"/>
      </w:pPr>
      <w:rPr>
        <w:b/>
        <w:bCs/>
      </w:rPr>
      <w:tblPr/>
      <w:tcPr>
        <w:tcBorders>
          <w:top w:val="double" w:sz="6" w:space="0" w:color="1B2C5B" w:themeColor="accent1"/>
          <w:left w:val="single" w:sz="8" w:space="0" w:color="1B2C5B" w:themeColor="accent1"/>
          <w:bottom w:val="single" w:sz="8" w:space="0" w:color="1B2C5B" w:themeColor="accent1"/>
          <w:right w:val="single" w:sz="8" w:space="0" w:color="1B2C5B" w:themeColor="accent1"/>
        </w:tcBorders>
      </w:tcPr>
    </w:tblStylePr>
    <w:tblStylePr w:type="firstCol">
      <w:rPr>
        <w:b/>
        <w:bCs/>
      </w:rPr>
    </w:tblStylePr>
    <w:tblStylePr w:type="lastCol">
      <w:rPr>
        <w:b/>
        <w:bCs/>
      </w:rPr>
    </w:tblStylePr>
    <w:tblStylePr w:type="band1Vert">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tcPr>
    </w:tblStylePr>
    <w:tblStylePr w:type="band1Horz">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tcPr>
    </w:tblStylePr>
  </w:style>
  <w:style w:type="table" w:styleId="LightShading-Accent1">
    <w:name w:val="Light Shading Accent 1"/>
    <w:basedOn w:val="TableNormal"/>
    <w:uiPriority w:val="60"/>
    <w:rsid w:val="001F68E9"/>
    <w:pPr>
      <w:spacing w:after="0" w:line="240" w:lineRule="auto"/>
    </w:pPr>
    <w:rPr>
      <w:color w:val="142044" w:themeColor="accent1" w:themeShade="BF"/>
    </w:rPr>
    <w:tblPr>
      <w:tblStyleRowBandSize w:val="1"/>
      <w:tblStyleColBandSize w:val="1"/>
      <w:tblBorders>
        <w:top w:val="single" w:sz="8" w:space="0" w:color="1B2C5B" w:themeColor="accent1"/>
        <w:bottom w:val="single" w:sz="8" w:space="0" w:color="1B2C5B" w:themeColor="accent1"/>
      </w:tblBorders>
    </w:tblPr>
    <w:tblStylePr w:type="firstRow">
      <w:pPr>
        <w:spacing w:before="0" w:after="0" w:line="240" w:lineRule="auto"/>
      </w:pPr>
      <w:rPr>
        <w:b/>
        <w:bCs/>
      </w:rPr>
      <w:tblPr/>
      <w:tcPr>
        <w:tcBorders>
          <w:top w:val="single" w:sz="8" w:space="0" w:color="1B2C5B" w:themeColor="accent1"/>
          <w:left w:val="nil"/>
          <w:bottom w:val="single" w:sz="8" w:space="0" w:color="1B2C5B" w:themeColor="accent1"/>
          <w:right w:val="nil"/>
          <w:insideH w:val="nil"/>
          <w:insideV w:val="nil"/>
        </w:tcBorders>
      </w:tcPr>
    </w:tblStylePr>
    <w:tblStylePr w:type="lastRow">
      <w:pPr>
        <w:spacing w:before="0" w:after="0" w:line="240" w:lineRule="auto"/>
      </w:pPr>
      <w:rPr>
        <w:b/>
        <w:bCs/>
      </w:rPr>
      <w:tblPr/>
      <w:tcPr>
        <w:tcBorders>
          <w:top w:val="single" w:sz="8" w:space="0" w:color="1B2C5B" w:themeColor="accent1"/>
          <w:left w:val="nil"/>
          <w:bottom w:val="single" w:sz="8" w:space="0" w:color="1B2C5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C2E8" w:themeFill="accent1" w:themeFillTint="3F"/>
      </w:tcPr>
    </w:tblStylePr>
    <w:tblStylePr w:type="band1Horz">
      <w:tblPr/>
      <w:tcPr>
        <w:tcBorders>
          <w:left w:val="nil"/>
          <w:right w:val="nil"/>
          <w:insideH w:val="nil"/>
          <w:insideV w:val="nil"/>
        </w:tcBorders>
        <w:shd w:val="clear" w:color="auto" w:fill="B4C2E8" w:themeFill="accent1" w:themeFillTint="3F"/>
      </w:tcPr>
    </w:tblStylePr>
  </w:style>
  <w:style w:type="table" w:customStyle="1" w:styleId="WAHealthTable5">
    <w:name w:val="WA Health Table 5"/>
    <w:basedOn w:val="LightList-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shd w:val="clear" w:color="auto" w:fill="1B2C5B" w:themeFill="accent1"/>
      </w:tcPr>
    </w:tblStylePr>
    <w:tblStylePr w:type="lastRow">
      <w:pPr>
        <w:spacing w:before="0" w:after="0" w:line="240" w:lineRule="auto"/>
      </w:pPr>
      <w:rPr>
        <w:b/>
        <w:bCs/>
      </w:rPr>
      <w:tblPr/>
      <w:tcPr>
        <w:tcBorders>
          <w:top w:val="double" w:sz="6" w:space="0" w:color="1B2C5B" w:themeColor="accent1"/>
          <w:left w:val="single" w:sz="8" w:space="0" w:color="1B2C5B" w:themeColor="accent1"/>
          <w:bottom w:val="single" w:sz="8" w:space="0" w:color="1B2C5B" w:themeColor="accent1"/>
          <w:right w:val="single" w:sz="8" w:space="0" w:color="1B2C5B" w:themeColor="accent1"/>
        </w:tcBorders>
      </w:tcPr>
    </w:tblStylePr>
    <w:tblStylePr w:type="firstCol">
      <w:rPr>
        <w:b/>
        <w:bCs/>
      </w:rPr>
    </w:tblStylePr>
    <w:tblStylePr w:type="lastCol">
      <w:rPr>
        <w:b/>
        <w:bCs/>
      </w:rPr>
    </w:tblStylePr>
    <w:tblStylePr w:type="band1Vert">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tcPr>
    </w:tblStylePr>
    <w:tblStylePr w:type="band1Horz">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tcPr>
    </w:tblStylePr>
  </w:style>
  <w:style w:type="table" w:styleId="LightGrid-Accent1">
    <w:name w:val="Light Grid Accent 1"/>
    <w:basedOn w:val="TableNormal"/>
    <w:uiPriority w:val="62"/>
    <w:rsid w:val="001F68E9"/>
    <w:pPr>
      <w:spacing w:after="0" w:line="240" w:lineRule="auto"/>
    </w:pPr>
    <w:tblPr>
      <w:tblStyleRowBandSize w:val="1"/>
      <w:tblStyleColBandSize w:val="1"/>
      <w:tblBorders>
        <w:top w:val="single" w:sz="8" w:space="0" w:color="1B2C5B" w:themeColor="accent1"/>
        <w:left w:val="single" w:sz="8" w:space="0" w:color="1B2C5B" w:themeColor="accent1"/>
        <w:bottom w:val="single" w:sz="8" w:space="0" w:color="1B2C5B" w:themeColor="accent1"/>
        <w:right w:val="single" w:sz="8" w:space="0" w:color="1B2C5B" w:themeColor="accent1"/>
        <w:insideH w:val="single" w:sz="8" w:space="0" w:color="1B2C5B" w:themeColor="accent1"/>
        <w:insideV w:val="single" w:sz="8" w:space="0" w:color="1B2C5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2C5B" w:themeColor="accent1"/>
          <w:left w:val="single" w:sz="8" w:space="0" w:color="1B2C5B" w:themeColor="accent1"/>
          <w:bottom w:val="single" w:sz="18" w:space="0" w:color="1B2C5B" w:themeColor="accent1"/>
          <w:right w:val="single" w:sz="8" w:space="0" w:color="1B2C5B" w:themeColor="accent1"/>
          <w:insideH w:val="nil"/>
          <w:insideV w:val="single" w:sz="8" w:space="0" w:color="1B2C5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2C5B" w:themeColor="accent1"/>
          <w:left w:val="single" w:sz="8" w:space="0" w:color="1B2C5B" w:themeColor="accent1"/>
          <w:bottom w:val="single" w:sz="8" w:space="0" w:color="1B2C5B" w:themeColor="accent1"/>
          <w:right w:val="single" w:sz="8" w:space="0" w:color="1B2C5B" w:themeColor="accent1"/>
          <w:insideH w:val="nil"/>
          <w:insideV w:val="single" w:sz="8" w:space="0" w:color="1B2C5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tcPr>
    </w:tblStylePr>
    <w:tblStylePr w:type="band1Vert">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shd w:val="clear" w:color="auto" w:fill="B4C2E8" w:themeFill="accent1" w:themeFillTint="3F"/>
      </w:tcPr>
    </w:tblStylePr>
    <w:tblStylePr w:type="band1Horz">
      <w:tblPr/>
      <w:tcPr>
        <w:tcBorders>
          <w:top w:val="single" w:sz="8" w:space="0" w:color="1B2C5B" w:themeColor="accent1"/>
          <w:left w:val="single" w:sz="8" w:space="0" w:color="1B2C5B" w:themeColor="accent1"/>
          <w:bottom w:val="single" w:sz="8" w:space="0" w:color="1B2C5B" w:themeColor="accent1"/>
          <w:right w:val="single" w:sz="8" w:space="0" w:color="1B2C5B" w:themeColor="accent1"/>
          <w:insideV w:val="single" w:sz="8" w:space="0" w:color="1B2C5B" w:themeColor="accent1"/>
        </w:tcBorders>
        <w:shd w:val="clear" w:color="auto" w:fill="B4C2E8" w:themeFill="accent1" w:themeFillTint="3F"/>
      </w:tcPr>
    </w:tblStylePr>
    <w:tblStylePr w:type="band2Horz">
      <w:tblPr/>
      <w:tcPr>
        <w:tcBorders>
          <w:top w:val="single" w:sz="8" w:space="0" w:color="1B2C5B" w:themeColor="accent1"/>
          <w:left w:val="single" w:sz="8" w:space="0" w:color="1B2C5B" w:themeColor="accent1"/>
          <w:bottom w:val="single" w:sz="8" w:space="0" w:color="1B2C5B" w:themeColor="accent1"/>
          <w:right w:val="single" w:sz="8" w:space="0" w:color="1B2C5B" w:themeColor="accent1"/>
          <w:insideV w:val="single" w:sz="8" w:space="0" w:color="1B2C5B" w:themeColor="accent1"/>
        </w:tcBorders>
      </w:tcPr>
    </w:tblStylePr>
  </w:style>
  <w:style w:type="table" w:customStyle="1" w:styleId="WAHealthTable4">
    <w:name w:val="WA Health Table 4"/>
    <w:basedOn w:val="LightGrid-Accent1"/>
    <w:uiPriority w:val="99"/>
    <w:rsid w:val="00930DF8"/>
    <w:rPr>
      <w:rFonts w:ascii="Arial" w:hAnsi="Arial"/>
      <w:sz w:val="24"/>
    </w:rPr>
    <w:tblPr/>
    <w:tblStylePr w:type="firstRow">
      <w:pPr>
        <w:spacing w:before="0" w:after="0" w:line="240" w:lineRule="auto"/>
      </w:pPr>
      <w:rPr>
        <w:rFonts w:asciiTheme="majorHAnsi" w:eastAsiaTheme="majorEastAsia" w:hAnsiTheme="majorHAnsi" w:cstheme="majorBidi"/>
        <w:b/>
        <w:bCs/>
      </w:rPr>
      <w:tblPr/>
      <w:trPr>
        <w:tblHeader/>
      </w:trPr>
      <w:tcPr>
        <w:tcBorders>
          <w:top w:val="single" w:sz="8" w:space="0" w:color="1B2C5B" w:themeColor="accent1"/>
          <w:left w:val="single" w:sz="8" w:space="0" w:color="1B2C5B" w:themeColor="accent1"/>
          <w:bottom w:val="single" w:sz="18" w:space="0" w:color="1B2C5B" w:themeColor="accent1"/>
          <w:right w:val="single" w:sz="8" w:space="0" w:color="1B2C5B" w:themeColor="accent1"/>
          <w:insideH w:val="nil"/>
          <w:insideV w:val="single" w:sz="8" w:space="0" w:color="1B2C5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2C5B" w:themeColor="accent1"/>
          <w:left w:val="single" w:sz="8" w:space="0" w:color="1B2C5B" w:themeColor="accent1"/>
          <w:bottom w:val="single" w:sz="8" w:space="0" w:color="1B2C5B" w:themeColor="accent1"/>
          <w:right w:val="single" w:sz="8" w:space="0" w:color="1B2C5B" w:themeColor="accent1"/>
          <w:insideH w:val="nil"/>
          <w:insideV w:val="single" w:sz="8" w:space="0" w:color="1B2C5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tcPr>
    </w:tblStylePr>
    <w:tblStylePr w:type="band1Vert">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shd w:val="clear" w:color="auto" w:fill="B4C2E8" w:themeFill="accent1" w:themeFillTint="3F"/>
      </w:tcPr>
    </w:tblStylePr>
    <w:tblStylePr w:type="band1Horz">
      <w:tblPr/>
      <w:tcPr>
        <w:tcBorders>
          <w:top w:val="single" w:sz="8" w:space="0" w:color="1B2C5B" w:themeColor="accent1"/>
          <w:left w:val="single" w:sz="8" w:space="0" w:color="1B2C5B" w:themeColor="accent1"/>
          <w:bottom w:val="single" w:sz="8" w:space="0" w:color="1B2C5B" w:themeColor="accent1"/>
          <w:right w:val="single" w:sz="8" w:space="0" w:color="1B2C5B" w:themeColor="accent1"/>
          <w:insideV w:val="single" w:sz="8" w:space="0" w:color="1B2C5B" w:themeColor="accent1"/>
        </w:tcBorders>
        <w:shd w:val="clear" w:color="auto" w:fill="1B2C5B" w:themeFill="accent2"/>
      </w:tcPr>
    </w:tblStylePr>
    <w:tblStylePr w:type="band2Horz">
      <w:tblPr/>
      <w:tcPr>
        <w:tcBorders>
          <w:top w:val="single" w:sz="8" w:space="0" w:color="1B2C5B" w:themeColor="accent1"/>
          <w:left w:val="single" w:sz="8" w:space="0" w:color="1B2C5B" w:themeColor="accent1"/>
          <w:bottom w:val="single" w:sz="8" w:space="0" w:color="1B2C5B" w:themeColor="accent1"/>
          <w:right w:val="single" w:sz="8" w:space="0" w:color="1B2C5B" w:themeColor="accent1"/>
          <w:insideV w:val="single" w:sz="8" w:space="0" w:color="1B2C5B" w:themeColor="accent1"/>
        </w:tcBorders>
      </w:tcPr>
    </w:tblStylePr>
  </w:style>
  <w:style w:type="table" w:styleId="MediumShading1-Accent1">
    <w:name w:val="Medium Shading 1 Accent 1"/>
    <w:basedOn w:val="TableNormal"/>
    <w:uiPriority w:val="63"/>
    <w:rsid w:val="001F68E9"/>
    <w:pPr>
      <w:spacing w:after="0" w:line="240" w:lineRule="auto"/>
    </w:pPr>
    <w:tblPr>
      <w:tblStyleRowBandSize w:val="1"/>
      <w:tblStyleColBandSize w:val="1"/>
      <w:tblBorders>
        <w:top w:val="single" w:sz="8" w:space="0" w:color="3150A6" w:themeColor="accent1" w:themeTint="BF"/>
        <w:left w:val="single" w:sz="8" w:space="0" w:color="3150A6" w:themeColor="accent1" w:themeTint="BF"/>
        <w:bottom w:val="single" w:sz="8" w:space="0" w:color="3150A6" w:themeColor="accent1" w:themeTint="BF"/>
        <w:right w:val="single" w:sz="8" w:space="0" w:color="3150A6" w:themeColor="accent1" w:themeTint="BF"/>
        <w:insideH w:val="single" w:sz="8" w:space="0" w:color="3150A6" w:themeColor="accent1" w:themeTint="BF"/>
      </w:tblBorders>
    </w:tblPr>
    <w:tblStylePr w:type="firstRow">
      <w:pPr>
        <w:spacing w:before="0" w:after="0" w:line="240" w:lineRule="auto"/>
      </w:pPr>
      <w:rPr>
        <w:b/>
        <w:bCs/>
        <w:color w:val="FFFFFF" w:themeColor="background1"/>
      </w:rPr>
      <w:tblPr/>
      <w:tcPr>
        <w:tcBorders>
          <w:top w:val="single" w:sz="8" w:space="0" w:color="3150A6" w:themeColor="accent1" w:themeTint="BF"/>
          <w:left w:val="single" w:sz="8" w:space="0" w:color="3150A6" w:themeColor="accent1" w:themeTint="BF"/>
          <w:bottom w:val="single" w:sz="8" w:space="0" w:color="3150A6" w:themeColor="accent1" w:themeTint="BF"/>
          <w:right w:val="single" w:sz="8" w:space="0" w:color="3150A6" w:themeColor="accent1" w:themeTint="BF"/>
          <w:insideH w:val="nil"/>
          <w:insideV w:val="nil"/>
        </w:tcBorders>
        <w:shd w:val="clear" w:color="auto" w:fill="1B2C5B" w:themeFill="accent1"/>
      </w:tcPr>
    </w:tblStylePr>
    <w:tblStylePr w:type="lastRow">
      <w:pPr>
        <w:spacing w:before="0" w:after="0" w:line="240" w:lineRule="auto"/>
      </w:pPr>
      <w:rPr>
        <w:b/>
        <w:bCs/>
      </w:rPr>
      <w:tblPr/>
      <w:tcPr>
        <w:tcBorders>
          <w:top w:val="double" w:sz="6" w:space="0" w:color="3150A6" w:themeColor="accent1" w:themeTint="BF"/>
          <w:left w:val="single" w:sz="8" w:space="0" w:color="3150A6" w:themeColor="accent1" w:themeTint="BF"/>
          <w:bottom w:val="single" w:sz="8" w:space="0" w:color="3150A6" w:themeColor="accent1" w:themeTint="BF"/>
          <w:right w:val="single" w:sz="8" w:space="0" w:color="3150A6" w:themeColor="accent1" w:themeTint="BF"/>
          <w:insideH w:val="nil"/>
          <w:insideV w:val="nil"/>
        </w:tcBorders>
      </w:tcPr>
    </w:tblStylePr>
    <w:tblStylePr w:type="firstCol">
      <w:rPr>
        <w:b/>
        <w:bCs/>
      </w:rPr>
    </w:tblStylePr>
    <w:tblStylePr w:type="lastCol">
      <w:rPr>
        <w:b/>
        <w:bCs/>
      </w:rPr>
    </w:tblStylePr>
    <w:tblStylePr w:type="band1Vert">
      <w:tblPr/>
      <w:tcPr>
        <w:shd w:val="clear" w:color="auto" w:fill="B4C2E8" w:themeFill="accent1" w:themeFillTint="3F"/>
      </w:tcPr>
    </w:tblStylePr>
    <w:tblStylePr w:type="band1Horz">
      <w:tblPr/>
      <w:tcPr>
        <w:tcBorders>
          <w:insideH w:val="nil"/>
          <w:insideV w:val="nil"/>
        </w:tcBorders>
        <w:shd w:val="clear" w:color="auto" w:fill="B4C2E8" w:themeFill="accent1" w:themeFillTint="3F"/>
      </w:tcPr>
    </w:tblStylePr>
    <w:tblStylePr w:type="band2Horz">
      <w:tblPr/>
      <w:tcPr>
        <w:tcBorders>
          <w:insideH w:val="nil"/>
          <w:insideV w:val="nil"/>
        </w:tcBorders>
      </w:tcPr>
    </w:tblStylePr>
  </w:style>
  <w:style w:type="table" w:customStyle="1" w:styleId="WAHealthTable6">
    <w:name w:val="WA Health Table 6"/>
    <w:basedOn w:val="MediumShading1-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tcBorders>
          <w:top w:val="single" w:sz="8" w:space="0" w:color="3150A6" w:themeColor="accent1" w:themeTint="BF"/>
          <w:left w:val="single" w:sz="8" w:space="0" w:color="3150A6" w:themeColor="accent1" w:themeTint="BF"/>
          <w:bottom w:val="single" w:sz="8" w:space="0" w:color="3150A6" w:themeColor="accent1" w:themeTint="BF"/>
          <w:right w:val="single" w:sz="8" w:space="0" w:color="3150A6" w:themeColor="accent1" w:themeTint="BF"/>
          <w:insideH w:val="nil"/>
          <w:insideV w:val="nil"/>
        </w:tcBorders>
        <w:shd w:val="clear" w:color="auto" w:fill="1B2C5B" w:themeFill="accent1"/>
      </w:tcPr>
    </w:tblStylePr>
    <w:tblStylePr w:type="lastRow">
      <w:pPr>
        <w:spacing w:before="0" w:after="0" w:line="240" w:lineRule="auto"/>
      </w:pPr>
      <w:rPr>
        <w:b/>
        <w:bCs/>
      </w:rPr>
      <w:tblPr/>
      <w:tcPr>
        <w:tcBorders>
          <w:top w:val="double" w:sz="6" w:space="0" w:color="3150A6" w:themeColor="accent1" w:themeTint="BF"/>
          <w:left w:val="single" w:sz="8" w:space="0" w:color="3150A6" w:themeColor="accent1" w:themeTint="BF"/>
          <w:bottom w:val="single" w:sz="8" w:space="0" w:color="3150A6" w:themeColor="accent1" w:themeTint="BF"/>
          <w:right w:val="single" w:sz="8" w:space="0" w:color="3150A6" w:themeColor="accent1" w:themeTint="BF"/>
          <w:insideH w:val="nil"/>
          <w:insideV w:val="nil"/>
        </w:tcBorders>
      </w:tcPr>
    </w:tblStylePr>
    <w:tblStylePr w:type="firstCol">
      <w:rPr>
        <w:b/>
        <w:bCs/>
      </w:rPr>
    </w:tblStylePr>
    <w:tblStylePr w:type="lastCol">
      <w:rPr>
        <w:b/>
        <w:bCs/>
      </w:rPr>
    </w:tblStylePr>
    <w:tblStylePr w:type="band1Vert">
      <w:tblPr/>
      <w:tcPr>
        <w:shd w:val="clear" w:color="auto" w:fill="B4C2E8" w:themeFill="accent1" w:themeFillTint="3F"/>
      </w:tcPr>
    </w:tblStylePr>
    <w:tblStylePr w:type="band1Horz">
      <w:tblPr/>
      <w:tcPr>
        <w:tcBorders>
          <w:insideH w:val="nil"/>
          <w:insideV w:val="nil"/>
        </w:tcBorders>
        <w:shd w:val="clear" w:color="auto" w:fill="FFFFFF" w:themeFill="background1"/>
      </w:tcPr>
    </w:tblStylePr>
    <w:tblStylePr w:type="band2Horz">
      <w:tblPr/>
      <w:tcPr>
        <w:tcBorders>
          <w:insideH w:val="nil"/>
          <w:insideV w:val="nil"/>
        </w:tcBorders>
        <w:shd w:val="clear" w:color="auto" w:fill="1B2C5B" w:themeFill="accent2"/>
      </w:tcPr>
    </w:tblStylePr>
  </w:style>
  <w:style w:type="table" w:styleId="MediumList1-Accent1">
    <w:name w:val="Medium List 1 Accent 1"/>
    <w:basedOn w:val="TableNormal"/>
    <w:uiPriority w:val="65"/>
    <w:rsid w:val="001F68E9"/>
    <w:pPr>
      <w:spacing w:after="0" w:line="240" w:lineRule="auto"/>
    </w:pPr>
    <w:rPr>
      <w:color w:val="000000" w:themeColor="text1"/>
    </w:rPr>
    <w:tblPr>
      <w:tblStyleRowBandSize w:val="1"/>
      <w:tblStyleColBandSize w:val="1"/>
      <w:tblBorders>
        <w:top w:val="single" w:sz="8" w:space="0" w:color="1B2C5B" w:themeColor="accent1"/>
        <w:bottom w:val="single" w:sz="8" w:space="0" w:color="1B2C5B" w:themeColor="accent1"/>
      </w:tblBorders>
    </w:tblPr>
    <w:tblStylePr w:type="firstRow">
      <w:rPr>
        <w:rFonts w:asciiTheme="majorHAnsi" w:eastAsiaTheme="majorEastAsia" w:hAnsiTheme="majorHAnsi" w:cstheme="majorBidi"/>
      </w:rPr>
      <w:tblPr/>
      <w:tcPr>
        <w:tcBorders>
          <w:top w:val="nil"/>
          <w:bottom w:val="single" w:sz="8" w:space="0" w:color="1B2C5B" w:themeColor="accent1"/>
        </w:tcBorders>
      </w:tcPr>
    </w:tblStylePr>
    <w:tblStylePr w:type="lastRow">
      <w:rPr>
        <w:b/>
        <w:bCs/>
        <w:color w:val="757477" w:themeColor="text2"/>
      </w:rPr>
      <w:tblPr/>
      <w:tcPr>
        <w:tcBorders>
          <w:top w:val="single" w:sz="8" w:space="0" w:color="1B2C5B" w:themeColor="accent1"/>
          <w:bottom w:val="single" w:sz="8" w:space="0" w:color="1B2C5B" w:themeColor="accent1"/>
        </w:tcBorders>
      </w:tcPr>
    </w:tblStylePr>
    <w:tblStylePr w:type="firstCol">
      <w:rPr>
        <w:b/>
        <w:bCs/>
      </w:rPr>
    </w:tblStylePr>
    <w:tblStylePr w:type="lastCol">
      <w:rPr>
        <w:b/>
        <w:bCs/>
      </w:rPr>
      <w:tblPr/>
      <w:tcPr>
        <w:tcBorders>
          <w:top w:val="single" w:sz="8" w:space="0" w:color="1B2C5B" w:themeColor="accent1"/>
          <w:bottom w:val="single" w:sz="8" w:space="0" w:color="1B2C5B" w:themeColor="accent1"/>
        </w:tcBorders>
      </w:tcPr>
    </w:tblStylePr>
    <w:tblStylePr w:type="band1Vert">
      <w:tblPr/>
      <w:tcPr>
        <w:shd w:val="clear" w:color="auto" w:fill="B4C2E8" w:themeFill="accent1" w:themeFillTint="3F"/>
      </w:tcPr>
    </w:tblStylePr>
    <w:tblStylePr w:type="band1Horz">
      <w:tblPr/>
      <w:tcPr>
        <w:shd w:val="clear" w:color="auto" w:fill="B4C2E8" w:themeFill="accent1" w:themeFillTint="3F"/>
      </w:tcPr>
    </w:tblStylePr>
  </w:style>
  <w:style w:type="table" w:customStyle="1" w:styleId="WAHealthTable1">
    <w:name w:val="WA Health Table 1"/>
    <w:basedOn w:val="MediumList1-Accent1"/>
    <w:uiPriority w:val="99"/>
    <w:rsid w:val="00930DF8"/>
    <w:rPr>
      <w:rFonts w:ascii="Arial" w:hAnsi="Arial"/>
      <w:sz w:val="24"/>
    </w:rPr>
    <w:tblPr/>
    <w:tblStylePr w:type="firstRow">
      <w:rPr>
        <w:rFonts w:asciiTheme="majorHAnsi" w:eastAsiaTheme="majorEastAsia" w:hAnsiTheme="majorHAnsi" w:cstheme="majorBidi"/>
      </w:rPr>
      <w:tblPr/>
      <w:trPr>
        <w:tblHeader/>
      </w:trPr>
      <w:tcPr>
        <w:tcBorders>
          <w:top w:val="nil"/>
          <w:bottom w:val="single" w:sz="8" w:space="0" w:color="1B2C5B" w:themeColor="accent1"/>
        </w:tcBorders>
      </w:tcPr>
    </w:tblStylePr>
    <w:tblStylePr w:type="lastRow">
      <w:rPr>
        <w:b/>
        <w:bCs/>
        <w:color w:val="757477" w:themeColor="text2"/>
      </w:rPr>
      <w:tblPr/>
      <w:tcPr>
        <w:tcBorders>
          <w:top w:val="single" w:sz="8" w:space="0" w:color="1B2C5B" w:themeColor="accent1"/>
          <w:bottom w:val="single" w:sz="8" w:space="0" w:color="1B2C5B" w:themeColor="accent1"/>
        </w:tcBorders>
      </w:tcPr>
    </w:tblStylePr>
    <w:tblStylePr w:type="firstCol">
      <w:rPr>
        <w:b/>
        <w:bCs/>
      </w:rPr>
    </w:tblStylePr>
    <w:tblStylePr w:type="lastCol">
      <w:rPr>
        <w:b/>
        <w:bCs/>
      </w:rPr>
      <w:tblPr/>
      <w:tcPr>
        <w:tcBorders>
          <w:top w:val="single" w:sz="8" w:space="0" w:color="1B2C5B" w:themeColor="accent1"/>
          <w:bottom w:val="single" w:sz="8" w:space="0" w:color="1B2C5B" w:themeColor="accent1"/>
        </w:tcBorders>
      </w:tcPr>
    </w:tblStylePr>
    <w:tblStylePr w:type="band1Vert">
      <w:tblPr/>
      <w:tcPr>
        <w:shd w:val="clear" w:color="auto" w:fill="B4C2E8" w:themeFill="accent1" w:themeFillTint="3F"/>
      </w:tcPr>
    </w:tblStylePr>
    <w:tblStylePr w:type="band1Horz">
      <w:tblPr/>
      <w:tcPr>
        <w:shd w:val="clear" w:color="auto" w:fill="1B2C5B" w:themeFill="accent2"/>
      </w:tcPr>
    </w:tblStylePr>
  </w:style>
  <w:style w:type="table" w:customStyle="1" w:styleId="WAHealthTable7">
    <w:name w:val="WA Health Table 7"/>
    <w:basedOn w:val="LightList"/>
    <w:uiPriority w:val="99"/>
    <w:rsid w:val="00930DF8"/>
    <w:rPr>
      <w:rFonts w:ascii="Arial" w:hAnsi="Arial"/>
      <w:sz w:val="24"/>
      <w:szCs w:val="20"/>
      <w:lang w:eastAsia="en-AU"/>
    </w:rPr>
    <w:tblPr/>
    <w:tblStylePr w:type="firstRow">
      <w:pPr>
        <w:spacing w:before="0" w:after="0" w:line="240" w:lineRule="auto"/>
      </w:pPr>
      <w:rPr>
        <w:b/>
        <w:bCs/>
        <w:color w:val="000000" w:themeColor="text1"/>
      </w:rPr>
      <w:tblPr/>
      <w:trPr>
        <w:tblHeader/>
      </w:trPr>
      <w:tcPr>
        <w:shd w:val="clear" w:color="auto" w:fill="FFFFFF" w:themeFill="background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WAHealthTable3">
    <w:name w:val="WA Health Table 3"/>
    <w:basedOn w:val="MediumList2-Accent1"/>
    <w:uiPriority w:val="99"/>
    <w:rsid w:val="00930DF8"/>
    <w:rPr>
      <w:rFonts w:ascii="Arial" w:hAnsi="Arial"/>
      <w:sz w:val="24"/>
      <w:szCs w:val="20"/>
      <w:lang w:eastAsia="en-AU"/>
    </w:rPr>
    <w:tblPr/>
    <w:tblStylePr w:type="firstRow">
      <w:rPr>
        <w:sz w:val="24"/>
        <w:szCs w:val="24"/>
      </w:rPr>
      <w:tblPr/>
      <w:trPr>
        <w:tblHeader/>
      </w:trPr>
      <w:tcPr>
        <w:tcBorders>
          <w:top w:val="nil"/>
          <w:left w:val="nil"/>
          <w:bottom w:val="single" w:sz="24" w:space="0" w:color="1B2C5B" w:themeColor="accent1"/>
          <w:right w:val="nil"/>
          <w:insideH w:val="nil"/>
          <w:insideV w:val="nil"/>
        </w:tcBorders>
        <w:shd w:val="clear" w:color="auto" w:fill="FFFFFF" w:themeFill="background1"/>
      </w:tcPr>
    </w:tblStylePr>
    <w:tblStylePr w:type="lastRow">
      <w:tblPr/>
      <w:tcPr>
        <w:tcBorders>
          <w:top w:val="single" w:sz="8" w:space="0" w:color="1B2C5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C5B" w:themeColor="accent1"/>
          <w:insideH w:val="nil"/>
          <w:insideV w:val="nil"/>
        </w:tcBorders>
        <w:shd w:val="clear" w:color="auto" w:fill="FFFFFF" w:themeFill="background1"/>
      </w:tcPr>
    </w:tblStylePr>
    <w:tblStylePr w:type="lastCol">
      <w:tblPr/>
      <w:tcPr>
        <w:tcBorders>
          <w:top w:val="nil"/>
          <w:left w:val="single" w:sz="8" w:space="0" w:color="1B2C5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C2E8" w:themeFill="accent1" w:themeFillTint="3F"/>
      </w:tcPr>
    </w:tblStylePr>
    <w:tblStylePr w:type="band1Horz">
      <w:tblPr/>
      <w:tcPr>
        <w:tcBorders>
          <w:top w:val="nil"/>
          <w:bottom w:val="nil"/>
          <w:insideH w:val="nil"/>
          <w:insideV w:val="nil"/>
        </w:tcBorders>
        <w:shd w:val="clear" w:color="auto" w:fill="1B2C5B" w:themeFill="accent2"/>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E405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List2-Accent1">
    <w:name w:val="Medium List 2 Accent 1"/>
    <w:basedOn w:val="TableNormal"/>
    <w:uiPriority w:val="66"/>
    <w:rsid w:val="00E40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C5B" w:themeColor="accent1"/>
        <w:left w:val="single" w:sz="8" w:space="0" w:color="1B2C5B" w:themeColor="accent1"/>
        <w:bottom w:val="single" w:sz="8" w:space="0" w:color="1B2C5B" w:themeColor="accent1"/>
        <w:right w:val="single" w:sz="8" w:space="0" w:color="1B2C5B" w:themeColor="accent1"/>
      </w:tblBorders>
    </w:tblPr>
    <w:tblStylePr w:type="firstRow">
      <w:rPr>
        <w:sz w:val="24"/>
        <w:szCs w:val="24"/>
      </w:rPr>
      <w:tblPr/>
      <w:tcPr>
        <w:tcBorders>
          <w:top w:val="nil"/>
          <w:left w:val="nil"/>
          <w:bottom w:val="single" w:sz="24" w:space="0" w:color="1B2C5B" w:themeColor="accent1"/>
          <w:right w:val="nil"/>
          <w:insideH w:val="nil"/>
          <w:insideV w:val="nil"/>
        </w:tcBorders>
        <w:shd w:val="clear" w:color="auto" w:fill="FFFFFF" w:themeFill="background1"/>
      </w:tcPr>
    </w:tblStylePr>
    <w:tblStylePr w:type="lastRow">
      <w:tblPr/>
      <w:tcPr>
        <w:tcBorders>
          <w:top w:val="single" w:sz="8" w:space="0" w:color="1B2C5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C5B" w:themeColor="accent1"/>
          <w:insideH w:val="nil"/>
          <w:insideV w:val="nil"/>
        </w:tcBorders>
        <w:shd w:val="clear" w:color="auto" w:fill="FFFFFF" w:themeFill="background1"/>
      </w:tcPr>
    </w:tblStylePr>
    <w:tblStylePr w:type="lastCol">
      <w:tblPr/>
      <w:tcPr>
        <w:tcBorders>
          <w:top w:val="nil"/>
          <w:left w:val="single" w:sz="8" w:space="0" w:color="1B2C5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C2E8" w:themeFill="accent1" w:themeFillTint="3F"/>
      </w:tcPr>
    </w:tblStylePr>
    <w:tblStylePr w:type="band1Horz">
      <w:tblPr/>
      <w:tcPr>
        <w:tcBorders>
          <w:top w:val="nil"/>
          <w:bottom w:val="nil"/>
          <w:insideH w:val="nil"/>
          <w:insideV w:val="nil"/>
        </w:tcBorders>
        <w:shd w:val="clear" w:color="auto" w:fill="B4C2E8"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itleHeader">
    <w:name w:val="Title Header"/>
    <w:basedOn w:val="Normal"/>
    <w:next w:val="Normal"/>
    <w:uiPriority w:val="99"/>
    <w:rsid w:val="00F647BD"/>
    <w:pPr>
      <w:suppressAutoHyphens/>
      <w:autoSpaceDE w:val="0"/>
      <w:autoSpaceDN w:val="0"/>
      <w:adjustRightInd w:val="0"/>
      <w:spacing w:before="113" w:after="680" w:line="680" w:lineRule="atLeast"/>
      <w:textAlignment w:val="center"/>
    </w:pPr>
    <w:rPr>
      <w:rFonts w:ascii="Arial MT Std" w:hAnsi="Arial MT Std" w:cs="Arial MT Std"/>
      <w:color w:val="006D00"/>
      <w:sz w:val="64"/>
      <w:szCs w:val="64"/>
      <w:lang w:val="en-GB"/>
    </w:rPr>
  </w:style>
  <w:style w:type="paragraph" w:customStyle="1" w:styleId="Bodycopy">
    <w:name w:val="Body copy"/>
    <w:basedOn w:val="Normal"/>
    <w:uiPriority w:val="99"/>
    <w:rsid w:val="00F647BD"/>
    <w:pPr>
      <w:suppressAutoHyphens/>
      <w:autoSpaceDE w:val="0"/>
      <w:autoSpaceDN w:val="0"/>
      <w:adjustRightInd w:val="0"/>
      <w:spacing w:after="142" w:line="290" w:lineRule="atLeast"/>
      <w:textAlignment w:val="center"/>
    </w:pPr>
    <w:rPr>
      <w:rFonts w:ascii="Arial MT Std" w:hAnsi="Arial MT Std" w:cs="Arial MT Std"/>
      <w:color w:val="000000"/>
      <w:szCs w:val="24"/>
      <w:lang w:val="en-GB"/>
    </w:rPr>
  </w:style>
  <w:style w:type="paragraph" w:customStyle="1" w:styleId="Subhead1">
    <w:name w:val="Sub head 1"/>
    <w:basedOn w:val="Normal"/>
    <w:uiPriority w:val="99"/>
    <w:rsid w:val="00F647BD"/>
    <w:pPr>
      <w:suppressAutoHyphens/>
      <w:autoSpaceDE w:val="0"/>
      <w:autoSpaceDN w:val="0"/>
      <w:adjustRightInd w:val="0"/>
      <w:spacing w:before="170" w:line="340" w:lineRule="atLeast"/>
      <w:textAlignment w:val="center"/>
    </w:pPr>
    <w:rPr>
      <w:rFonts w:ascii="Arial MT Std" w:hAnsi="Arial MT Std" w:cs="Arial MT Std"/>
      <w:b/>
      <w:bCs/>
      <w:color w:val="006D00"/>
      <w:sz w:val="30"/>
      <w:szCs w:val="30"/>
      <w:lang w:val="en-GB"/>
    </w:rPr>
  </w:style>
  <w:style w:type="paragraph" w:customStyle="1" w:styleId="Subhead2">
    <w:name w:val="Sub head 2"/>
    <w:basedOn w:val="Normal"/>
    <w:uiPriority w:val="99"/>
    <w:rsid w:val="00F647BD"/>
    <w:pPr>
      <w:suppressAutoHyphens/>
      <w:autoSpaceDE w:val="0"/>
      <w:autoSpaceDN w:val="0"/>
      <w:adjustRightInd w:val="0"/>
      <w:spacing w:before="57" w:after="142" w:line="300" w:lineRule="atLeast"/>
      <w:textAlignment w:val="center"/>
    </w:pPr>
    <w:rPr>
      <w:rFonts w:ascii="Arial MT Std" w:hAnsi="Arial MT Std" w:cs="Arial MT Std"/>
      <w:b/>
      <w:bCs/>
      <w:color w:val="006D00"/>
      <w:sz w:val="26"/>
      <w:szCs w:val="26"/>
      <w:lang w:val="en-GB"/>
    </w:rPr>
  </w:style>
  <w:style w:type="paragraph" w:styleId="Header">
    <w:name w:val="header"/>
    <w:basedOn w:val="Normal"/>
    <w:link w:val="HeaderChar"/>
    <w:uiPriority w:val="99"/>
    <w:semiHidden/>
    <w:rsid w:val="0013662A"/>
    <w:pPr>
      <w:tabs>
        <w:tab w:val="center" w:pos="4513"/>
        <w:tab w:val="right" w:pos="9026"/>
      </w:tabs>
      <w:spacing w:after="0"/>
    </w:pPr>
  </w:style>
  <w:style w:type="character" w:customStyle="1" w:styleId="HeaderChar">
    <w:name w:val="Header Char"/>
    <w:basedOn w:val="DefaultParagraphFont"/>
    <w:link w:val="Header"/>
    <w:uiPriority w:val="99"/>
    <w:semiHidden/>
    <w:rsid w:val="0013662A"/>
    <w:rPr>
      <w:rFonts w:ascii="Arial" w:hAnsi="Arial"/>
      <w:sz w:val="24"/>
    </w:rPr>
  </w:style>
  <w:style w:type="paragraph" w:styleId="Footer">
    <w:name w:val="footer"/>
    <w:basedOn w:val="Normal"/>
    <w:link w:val="FooterChar"/>
    <w:uiPriority w:val="99"/>
    <w:rsid w:val="0013662A"/>
    <w:pPr>
      <w:tabs>
        <w:tab w:val="center" w:pos="4513"/>
        <w:tab w:val="right" w:pos="9026"/>
      </w:tabs>
      <w:spacing w:after="0"/>
    </w:pPr>
  </w:style>
  <w:style w:type="character" w:customStyle="1" w:styleId="FooterChar">
    <w:name w:val="Footer Char"/>
    <w:basedOn w:val="DefaultParagraphFont"/>
    <w:link w:val="Footer"/>
    <w:uiPriority w:val="99"/>
    <w:rsid w:val="0013662A"/>
    <w:rPr>
      <w:rFonts w:ascii="Arial" w:hAnsi="Arial"/>
      <w:sz w:val="24"/>
    </w:rPr>
  </w:style>
  <w:style w:type="paragraph" w:customStyle="1" w:styleId="TEXT">
    <w:name w:val="TEXT"/>
    <w:basedOn w:val="Normal"/>
    <w:uiPriority w:val="99"/>
    <w:rsid w:val="009B0844"/>
    <w:pPr>
      <w:widowControl w:val="0"/>
      <w:suppressAutoHyphens/>
      <w:autoSpaceDE w:val="0"/>
      <w:autoSpaceDN w:val="0"/>
      <w:adjustRightInd w:val="0"/>
      <w:spacing w:after="113" w:line="280" w:lineRule="atLeast"/>
      <w:textAlignment w:val="center"/>
    </w:pPr>
    <w:rPr>
      <w:rFonts w:ascii="ArialMTStd" w:eastAsia="Calibri" w:hAnsi="ArialMTStd" w:cs="ArialMTStd"/>
      <w:color w:val="000000"/>
      <w:szCs w:val="24"/>
      <w:lang w:val="en-GB"/>
    </w:rPr>
  </w:style>
  <w:style w:type="character" w:styleId="PlaceholderText">
    <w:name w:val="Placeholder Text"/>
    <w:basedOn w:val="DefaultParagraphFont"/>
    <w:uiPriority w:val="99"/>
    <w:semiHidden/>
    <w:rsid w:val="00882643"/>
    <w:rPr>
      <w:color w:val="808080"/>
    </w:rPr>
  </w:style>
  <w:style w:type="character" w:styleId="UnresolvedMention">
    <w:name w:val="Unresolved Mention"/>
    <w:basedOn w:val="DefaultParagraphFont"/>
    <w:uiPriority w:val="99"/>
    <w:semiHidden/>
    <w:unhideWhenUsed/>
    <w:rsid w:val="006A75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846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PRB@health.wa.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avy PMS 288 2014">
      <a:dk1>
        <a:sysClr val="windowText" lastClr="000000"/>
      </a:dk1>
      <a:lt1>
        <a:sysClr val="window" lastClr="FFFFFF"/>
      </a:lt1>
      <a:dk2>
        <a:srgbClr val="757477"/>
      </a:dk2>
      <a:lt2>
        <a:srgbClr val="FFFFFF"/>
      </a:lt2>
      <a:accent1>
        <a:srgbClr val="1B2C5B"/>
      </a:accent1>
      <a:accent2>
        <a:srgbClr val="1B2C5B"/>
      </a:accent2>
      <a:accent3>
        <a:srgbClr val="1B2C5B"/>
      </a:accent3>
      <a:accent4>
        <a:srgbClr val="1B2C5B"/>
      </a:accent4>
      <a:accent5>
        <a:srgbClr val="1B2C5B"/>
      </a:accent5>
      <a:accent6>
        <a:srgbClr val="1B2C5B"/>
      </a:accent6>
      <a:hlink>
        <a:srgbClr val="004B8D"/>
      </a:hlink>
      <a:folHlink>
        <a:srgbClr val="6E298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1"/>
        </a:lnRef>
        <a:fillRef idx="1">
          <a:schemeClr val="lt1"/>
        </a:fillRef>
        <a:effectRef idx="0">
          <a:schemeClr val="accent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12659-F2AB-4641-80AB-29A77A6EE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909</Words>
  <Characters>5185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Flyer Template</vt:lpstr>
    </vt:vector>
  </TitlesOfParts>
  <Company>WA Health</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Flyer Template</dc:title>
  <dc:creator>Dobson, Steve</dc:creator>
  <cp:keywords>flyer, template, doh</cp:keywords>
  <dc:description>Department of Health's flyer templates for consumers</dc:description>
  <cp:lastModifiedBy>Carpenter, Jane</cp:lastModifiedBy>
  <cp:revision>2</cp:revision>
  <cp:lastPrinted>2018-11-15T05:17:00Z</cp:lastPrinted>
  <dcterms:created xsi:type="dcterms:W3CDTF">2023-01-18T02:00:00Z</dcterms:created>
  <dcterms:modified xsi:type="dcterms:W3CDTF">2023-01-18T02:00:00Z</dcterms:modified>
</cp:coreProperties>
</file>