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245AF2" w:rsidP="00E775B0"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2588895" cy="473710"/>
            <wp:effectExtent l="0" t="0" r="1905" b="2540"/>
            <wp:docPr id="2" name="Picture 1" descr="http://intranet.health.wa.gov.au/Communications/template/logos/public_health_colour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health.wa.gov.au/Communications/template/logos/public_health_colour_w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7BD" w:rsidRPr="00CA15ED" w:rsidRDefault="00AB04BE" w:rsidP="002E5F5B">
      <w:pPr>
        <w:pStyle w:val="Heading1"/>
        <w:rPr>
          <w:b/>
          <w:sz w:val="58"/>
          <w:szCs w:val="58"/>
        </w:rPr>
      </w:pPr>
      <w:r w:rsidRPr="00CA15ED">
        <w:rPr>
          <w:b/>
          <w:sz w:val="58"/>
          <w:szCs w:val="58"/>
        </w:rPr>
        <w:t>Who can prescribe medicines</w:t>
      </w:r>
      <w:r w:rsidR="007C2ADD">
        <w:rPr>
          <w:b/>
          <w:sz w:val="58"/>
          <w:szCs w:val="58"/>
        </w:rPr>
        <w:t xml:space="preserve"> in W</w:t>
      </w:r>
      <w:r w:rsidR="007C2ADD">
        <w:rPr>
          <w:b/>
          <w:sz w:val="58"/>
          <w:szCs w:val="58"/>
          <w:lang w:val="en-AU"/>
        </w:rPr>
        <w:t>estern Australia?</w:t>
      </w:r>
    </w:p>
    <w:p w:rsidR="00EE2431" w:rsidRDefault="00BA6363" w:rsidP="00041D1A">
      <w:pPr>
        <w:rPr>
          <w:lang w:eastAsia="x-none"/>
        </w:rPr>
      </w:pPr>
      <w:r>
        <w:rPr>
          <w:lang w:val="x-none" w:eastAsia="x-none"/>
        </w:rPr>
        <w:t>Prescribing is an iterative process involving information gathering, clinical decision making, communication and evaluation that results in the initiation, continuation or cessation of a medicine.</w:t>
      </w:r>
      <w:r w:rsidR="004F17EF">
        <w:rPr>
          <w:lang w:eastAsia="x-none"/>
        </w:rPr>
        <w:t xml:space="preserve"> </w:t>
      </w:r>
    </w:p>
    <w:p w:rsidR="004F17EF" w:rsidRPr="004F17EF" w:rsidRDefault="004F17EF" w:rsidP="00041D1A">
      <w:pPr>
        <w:rPr>
          <w:lang w:eastAsia="x-none"/>
        </w:rPr>
      </w:pPr>
      <w:r>
        <w:rPr>
          <w:lang w:eastAsia="x-none"/>
        </w:rPr>
        <w:t xml:space="preserve">A prescription is a written direction to instruct another health practitioner to </w:t>
      </w:r>
      <w:r w:rsidR="0067544C">
        <w:rPr>
          <w:lang w:eastAsia="x-none"/>
        </w:rPr>
        <w:t xml:space="preserve">dispense </w:t>
      </w:r>
      <w:r>
        <w:rPr>
          <w:lang w:eastAsia="x-none"/>
        </w:rPr>
        <w:t xml:space="preserve">supply a medicine. This is closely related to </w:t>
      </w:r>
      <w:r w:rsidR="0067544C">
        <w:rPr>
          <w:lang w:eastAsia="x-none"/>
        </w:rPr>
        <w:t xml:space="preserve">a </w:t>
      </w:r>
      <w:r>
        <w:rPr>
          <w:lang w:eastAsia="x-none"/>
        </w:rPr>
        <w:t>direction t</w:t>
      </w:r>
      <w:r w:rsidR="0067544C">
        <w:rPr>
          <w:lang w:eastAsia="x-none"/>
        </w:rPr>
        <w:t xml:space="preserve">hat </w:t>
      </w:r>
      <w:r>
        <w:rPr>
          <w:lang w:eastAsia="x-none"/>
        </w:rPr>
        <w:t>instruct</w:t>
      </w:r>
      <w:r w:rsidR="0067544C">
        <w:rPr>
          <w:lang w:eastAsia="x-none"/>
        </w:rPr>
        <w:t>s</w:t>
      </w:r>
      <w:r>
        <w:rPr>
          <w:lang w:eastAsia="x-none"/>
        </w:rPr>
        <w:t xml:space="preserve"> a</w:t>
      </w:r>
      <w:r w:rsidR="0067544C">
        <w:rPr>
          <w:lang w:eastAsia="x-none"/>
        </w:rPr>
        <w:t>nother</w:t>
      </w:r>
      <w:r>
        <w:rPr>
          <w:lang w:eastAsia="x-none"/>
        </w:rPr>
        <w:t xml:space="preserve"> practitioner to administer a medicine to a patient, including the use of medication charts in hospitals. </w:t>
      </w:r>
    </w:p>
    <w:p w:rsidR="00BA6363" w:rsidRDefault="00BA6363" w:rsidP="00BA6363">
      <w:pPr>
        <w:pStyle w:val="Heading2"/>
        <w:rPr>
          <w:lang w:val="en-AU"/>
        </w:rPr>
      </w:pPr>
      <w:r>
        <w:t>General rules</w:t>
      </w:r>
    </w:p>
    <w:p w:rsidR="0067544C" w:rsidRPr="0067544C" w:rsidRDefault="0067544C" w:rsidP="0067544C">
      <w:pPr>
        <w:rPr>
          <w:lang w:eastAsia="x-none"/>
        </w:rPr>
      </w:pPr>
      <w:r>
        <w:rPr>
          <w:lang w:val="x-none" w:eastAsia="x-none"/>
        </w:rPr>
        <w:t xml:space="preserve">Only health professionals </w:t>
      </w:r>
      <w:r>
        <w:rPr>
          <w:lang w:eastAsia="x-none"/>
        </w:rPr>
        <w:t>authorised</w:t>
      </w:r>
      <w:r>
        <w:rPr>
          <w:lang w:val="x-none" w:eastAsia="x-none"/>
        </w:rPr>
        <w:t xml:space="preserve"> under the Health Practitioner Regulation National Law</w:t>
      </w:r>
      <w:r>
        <w:rPr>
          <w:lang w:eastAsia="x-none"/>
        </w:rPr>
        <w:t>,</w:t>
      </w:r>
      <w:r>
        <w:rPr>
          <w:lang w:val="x-none" w:eastAsia="x-none"/>
        </w:rPr>
        <w:t xml:space="preserve"> and acting in the lawful practice of their profession, can prescribe medicines.</w:t>
      </w:r>
      <w:r>
        <w:rPr>
          <w:lang w:eastAsia="x-none"/>
        </w:rPr>
        <w:t xml:space="preserve"> Who and what can be prescribed varies by profession and classification of the medicine.  </w:t>
      </w:r>
    </w:p>
    <w:p w:rsidR="0067544C" w:rsidRDefault="0067544C" w:rsidP="0067544C">
      <w:pPr>
        <w:rPr>
          <w:lang w:eastAsia="x-none"/>
        </w:rPr>
      </w:pPr>
      <w:r>
        <w:rPr>
          <w:lang w:val="x-none" w:eastAsia="x-none"/>
        </w:rPr>
        <w:t xml:space="preserve">Medicines are classified into different </w:t>
      </w:r>
      <w:r>
        <w:rPr>
          <w:lang w:eastAsia="x-none"/>
        </w:rPr>
        <w:t>Schedules</w:t>
      </w:r>
      <w:r>
        <w:rPr>
          <w:lang w:val="x-none" w:eastAsia="x-none"/>
        </w:rPr>
        <w:t xml:space="preserve"> depending on risk and the level of control required to protect public health and safety. </w:t>
      </w:r>
      <w:r>
        <w:rPr>
          <w:lang w:eastAsia="x-none"/>
        </w:rPr>
        <w:t>These classifications include:</w:t>
      </w:r>
    </w:p>
    <w:p w:rsidR="0067544C" w:rsidRDefault="0067544C" w:rsidP="0067544C">
      <w:pPr>
        <w:pStyle w:val="ListParagraph"/>
        <w:numPr>
          <w:ilvl w:val="0"/>
          <w:numId w:val="19"/>
        </w:numPr>
        <w:rPr>
          <w:lang w:eastAsia="x-none"/>
        </w:rPr>
      </w:pPr>
      <w:r w:rsidRPr="0067544C">
        <w:rPr>
          <w:lang w:val="x-none" w:eastAsia="x-none"/>
        </w:rPr>
        <w:t>Schedule 2 (Pharmacy Medicine)</w:t>
      </w:r>
      <w:r>
        <w:rPr>
          <w:lang w:eastAsia="x-none"/>
        </w:rPr>
        <w:t>;</w:t>
      </w:r>
    </w:p>
    <w:p w:rsidR="0067544C" w:rsidRDefault="0067544C" w:rsidP="0067544C">
      <w:pPr>
        <w:pStyle w:val="ListParagraph"/>
        <w:numPr>
          <w:ilvl w:val="0"/>
          <w:numId w:val="19"/>
        </w:numPr>
        <w:rPr>
          <w:lang w:eastAsia="x-none"/>
        </w:rPr>
      </w:pPr>
      <w:r w:rsidRPr="0067544C">
        <w:rPr>
          <w:lang w:val="x-none" w:eastAsia="x-none"/>
        </w:rPr>
        <w:t>Schedule 3 (Pharmacist only Medicine)</w:t>
      </w:r>
      <w:r>
        <w:rPr>
          <w:lang w:eastAsia="x-none"/>
        </w:rPr>
        <w:t>;</w:t>
      </w:r>
    </w:p>
    <w:p w:rsidR="0067544C" w:rsidRDefault="0067544C" w:rsidP="0067544C">
      <w:pPr>
        <w:pStyle w:val="ListParagraph"/>
        <w:numPr>
          <w:ilvl w:val="0"/>
          <w:numId w:val="19"/>
        </w:numPr>
        <w:rPr>
          <w:lang w:eastAsia="x-none"/>
        </w:rPr>
      </w:pPr>
      <w:r w:rsidRPr="0067544C">
        <w:rPr>
          <w:lang w:val="x-none" w:eastAsia="x-none"/>
        </w:rPr>
        <w:t>Schedule 4 (Prescription Only Medicine)</w:t>
      </w:r>
      <w:r>
        <w:rPr>
          <w:lang w:eastAsia="x-none"/>
        </w:rPr>
        <w:t>; and</w:t>
      </w:r>
    </w:p>
    <w:p w:rsidR="0067544C" w:rsidRDefault="0067544C" w:rsidP="0067544C">
      <w:pPr>
        <w:pStyle w:val="ListParagraph"/>
        <w:numPr>
          <w:ilvl w:val="0"/>
          <w:numId w:val="19"/>
        </w:numPr>
        <w:rPr>
          <w:lang w:eastAsia="x-none"/>
        </w:rPr>
      </w:pPr>
      <w:r w:rsidRPr="0067544C">
        <w:rPr>
          <w:lang w:val="x-none" w:eastAsia="x-none"/>
        </w:rPr>
        <w:t>Schedule 8 (S8) (Controlled Drug).</w:t>
      </w:r>
    </w:p>
    <w:p w:rsidR="0067544C" w:rsidRDefault="0067544C" w:rsidP="0067544C">
      <w:r>
        <w:t xml:space="preserve">Schedule 4 and Schedule 8 medicines may only be dispensed by a pharmacist on receipt of a current, valid, prescription from an authorised prescriber. The pharmacist must supply exactly what is ordered on the document.  </w:t>
      </w:r>
    </w:p>
    <w:p w:rsidR="0067544C" w:rsidRDefault="0067544C" w:rsidP="0067544C">
      <w:pPr>
        <w:pStyle w:val="Heading2"/>
      </w:pPr>
      <w:r>
        <w:t>Doctors, dentists, veterinary surgeons and nurse practitioners</w:t>
      </w:r>
    </w:p>
    <w:p w:rsidR="0067544C" w:rsidRDefault="0067544C" w:rsidP="0067544C">
      <w:pPr>
        <w:rPr>
          <w:lang w:val="x-none" w:eastAsia="x-none"/>
        </w:rPr>
      </w:pPr>
      <w:r>
        <w:rPr>
          <w:lang w:val="x-none" w:eastAsia="x-none"/>
        </w:rPr>
        <w:t xml:space="preserve">Doctors, dentists, veterinary surgeons and nurse practitioners are authorised to prescribe </w:t>
      </w:r>
      <w:r>
        <w:rPr>
          <w:lang w:eastAsia="x-none"/>
        </w:rPr>
        <w:t xml:space="preserve">and supply </w:t>
      </w:r>
      <w:r>
        <w:rPr>
          <w:lang w:val="x-none" w:eastAsia="x-none"/>
        </w:rPr>
        <w:t>Schedule</w:t>
      </w:r>
      <w:r>
        <w:rPr>
          <w:lang w:eastAsia="x-none"/>
        </w:rPr>
        <w:t xml:space="preserve">d </w:t>
      </w:r>
      <w:r>
        <w:rPr>
          <w:lang w:val="x-none" w:eastAsia="x-none"/>
        </w:rPr>
        <w:t>medicine</w:t>
      </w:r>
      <w:r>
        <w:rPr>
          <w:lang w:eastAsia="x-none"/>
        </w:rPr>
        <w:t>s</w:t>
      </w:r>
      <w:r>
        <w:rPr>
          <w:lang w:val="x-none" w:eastAsia="x-none"/>
        </w:rPr>
        <w:t xml:space="preserve"> in the </w:t>
      </w:r>
      <w:r>
        <w:rPr>
          <w:lang w:eastAsia="x-none"/>
        </w:rPr>
        <w:t>practice</w:t>
      </w:r>
      <w:r>
        <w:rPr>
          <w:lang w:val="x-none" w:eastAsia="x-none"/>
        </w:rPr>
        <w:t xml:space="preserve"> of their profession.</w:t>
      </w:r>
    </w:p>
    <w:p w:rsidR="0067544C" w:rsidRDefault="0067544C" w:rsidP="0067544C">
      <w:pPr>
        <w:rPr>
          <w:lang w:eastAsia="x-none"/>
        </w:rPr>
      </w:pPr>
      <w:r>
        <w:rPr>
          <w:lang w:val="x-none" w:eastAsia="x-none"/>
        </w:rPr>
        <w:t xml:space="preserve">Dentists can prescribe </w:t>
      </w:r>
      <w:r>
        <w:rPr>
          <w:lang w:eastAsia="x-none"/>
        </w:rPr>
        <w:t xml:space="preserve">and supply Scheduled </w:t>
      </w:r>
      <w:r>
        <w:rPr>
          <w:lang w:val="x-none" w:eastAsia="x-none"/>
        </w:rPr>
        <w:t xml:space="preserve">medicines for dental treatment. Veterinary surgeons can prescribe </w:t>
      </w:r>
      <w:r>
        <w:rPr>
          <w:lang w:eastAsia="x-none"/>
        </w:rPr>
        <w:t>and supply Scheduled</w:t>
      </w:r>
      <w:r>
        <w:rPr>
          <w:lang w:val="x-none" w:eastAsia="x-none"/>
        </w:rPr>
        <w:t xml:space="preserve"> medicines for animal treatment.</w:t>
      </w:r>
      <w:r w:rsidRPr="0067544C">
        <w:rPr>
          <w:lang w:eastAsia="x-none"/>
        </w:rPr>
        <w:t xml:space="preserve"> </w:t>
      </w:r>
    </w:p>
    <w:p w:rsidR="0067544C" w:rsidRPr="004F17EF" w:rsidRDefault="0067544C" w:rsidP="0067544C">
      <w:pPr>
        <w:rPr>
          <w:lang w:eastAsia="x-none"/>
        </w:rPr>
      </w:pPr>
      <w:r>
        <w:rPr>
          <w:lang w:eastAsia="x-none"/>
        </w:rPr>
        <w:t xml:space="preserve">Any prescribing must be consistent with lawful scope of practice. Veterinary surgeons cannot prescribe for human use. </w:t>
      </w:r>
    </w:p>
    <w:p w:rsidR="0067544C" w:rsidRDefault="0067544C" w:rsidP="0067544C">
      <w:pPr>
        <w:pStyle w:val="Heading2"/>
      </w:pPr>
      <w:r>
        <w:t>Endorsed optometrists, podiatrists and midwives</w:t>
      </w:r>
    </w:p>
    <w:p w:rsidR="0067544C" w:rsidRDefault="0067544C" w:rsidP="0067544C">
      <w:pPr>
        <w:rPr>
          <w:lang w:val="x-none" w:eastAsia="x-none"/>
        </w:rPr>
      </w:pPr>
      <w:r>
        <w:rPr>
          <w:lang w:val="x-none" w:eastAsia="x-none"/>
        </w:rPr>
        <w:t xml:space="preserve">An optometrist, podiatrist or midwife whose registration is ‘endorsed for scheduled medicines’ under the Health Practitioner Regulation National Law, is authorised to prescribe </w:t>
      </w:r>
      <w:r>
        <w:rPr>
          <w:lang w:eastAsia="x-none"/>
        </w:rPr>
        <w:t xml:space="preserve">Schedule 4 </w:t>
      </w:r>
      <w:r>
        <w:rPr>
          <w:lang w:val="x-none" w:eastAsia="x-none"/>
        </w:rPr>
        <w:t>medicines.</w:t>
      </w:r>
      <w:r>
        <w:rPr>
          <w:lang w:eastAsia="x-none"/>
        </w:rPr>
        <w:t xml:space="preserve"> Prescribing must be within usual scope for the practitioner and their class of registration.</w:t>
      </w:r>
    </w:p>
    <w:p w:rsidR="0067544C" w:rsidRDefault="0067544C" w:rsidP="0067544C">
      <w:pPr>
        <w:rPr>
          <w:lang w:val="x-none" w:eastAsia="x-none"/>
        </w:rPr>
      </w:pPr>
      <w:r>
        <w:rPr>
          <w:lang w:eastAsia="x-none"/>
        </w:rPr>
        <w:lastRenderedPageBreak/>
        <w:t>The prescribing</w:t>
      </w:r>
      <w:r>
        <w:rPr>
          <w:lang w:val="x-none" w:eastAsia="x-none"/>
        </w:rPr>
        <w:t xml:space="preserve"> of </w:t>
      </w:r>
      <w:r>
        <w:rPr>
          <w:lang w:eastAsia="x-none"/>
        </w:rPr>
        <w:t>Scheduled</w:t>
      </w:r>
      <w:r>
        <w:rPr>
          <w:lang w:val="x-none" w:eastAsia="x-none"/>
        </w:rPr>
        <w:t xml:space="preserve"> medicines </w:t>
      </w:r>
      <w:r>
        <w:rPr>
          <w:lang w:eastAsia="x-none"/>
        </w:rPr>
        <w:t xml:space="preserve">by endorsed practitioners </w:t>
      </w:r>
      <w:r>
        <w:rPr>
          <w:lang w:val="x-none" w:eastAsia="x-none"/>
        </w:rPr>
        <w:t xml:space="preserve">must comply with </w:t>
      </w:r>
      <w:r>
        <w:rPr>
          <w:lang w:eastAsia="x-none"/>
        </w:rPr>
        <w:t xml:space="preserve">any </w:t>
      </w:r>
      <w:r>
        <w:rPr>
          <w:lang w:val="x-none" w:eastAsia="x-none"/>
        </w:rPr>
        <w:t>relevant National Board approved medication list or formulary</w:t>
      </w:r>
      <w:r>
        <w:rPr>
          <w:lang w:eastAsia="x-none"/>
        </w:rPr>
        <w:t xml:space="preserve">. This may restrict prescribing by </w:t>
      </w:r>
      <w:r>
        <w:rPr>
          <w:lang w:val="x-none" w:eastAsia="x-none"/>
        </w:rPr>
        <w:t xml:space="preserve">indication, dose, route of administration, duration of therapy, </w:t>
      </w:r>
      <w:r>
        <w:rPr>
          <w:lang w:eastAsia="x-none"/>
        </w:rPr>
        <w:t>or other circumstances</w:t>
      </w:r>
      <w:r>
        <w:rPr>
          <w:lang w:val="x-none" w:eastAsia="x-none"/>
        </w:rPr>
        <w:t xml:space="preserve">. </w:t>
      </w:r>
    </w:p>
    <w:p w:rsidR="000431B6" w:rsidRPr="000431B6" w:rsidRDefault="000431B6" w:rsidP="000431B6">
      <w:pPr>
        <w:pStyle w:val="Heading2"/>
      </w:pPr>
      <w:r w:rsidRPr="000431B6">
        <w:t>Valid prescriptions</w:t>
      </w:r>
    </w:p>
    <w:p w:rsidR="0067544C" w:rsidRDefault="0067544C" w:rsidP="0067544C">
      <w:r>
        <w:t xml:space="preserve">Prescriptions </w:t>
      </w:r>
      <w:r w:rsidR="000431B6" w:rsidRPr="000431B6">
        <w:t xml:space="preserve">may be </w:t>
      </w:r>
      <w:r>
        <w:t xml:space="preserve">written by hand, generated through a </w:t>
      </w:r>
      <w:r w:rsidR="000431B6" w:rsidRPr="000431B6">
        <w:t>computer</w:t>
      </w:r>
      <w:r>
        <w:t xml:space="preserve"> system and then printed, or prescribed through an approved electronic prescribing system. </w:t>
      </w:r>
    </w:p>
    <w:p w:rsidR="0067544C" w:rsidRDefault="0067544C" w:rsidP="0067544C">
      <w:r>
        <w:t>P</w:t>
      </w:r>
      <w:r w:rsidR="000431B6" w:rsidRPr="000431B6">
        <w:t>rescription</w:t>
      </w:r>
      <w:r>
        <w:t>s</w:t>
      </w:r>
      <w:r w:rsidR="000431B6" w:rsidRPr="000431B6">
        <w:t xml:space="preserve"> must be </w:t>
      </w:r>
      <w:r>
        <w:t xml:space="preserve">personally </w:t>
      </w:r>
      <w:r w:rsidR="000431B6" w:rsidRPr="000431B6">
        <w:t>written or produced</w:t>
      </w:r>
      <w:r>
        <w:t xml:space="preserve"> </w:t>
      </w:r>
      <w:r w:rsidR="000431B6" w:rsidRPr="000431B6">
        <w:t xml:space="preserve">electronically by </w:t>
      </w:r>
      <w:r>
        <w:t xml:space="preserve">the prescriber. Handwritten scripts must be in ink, in the prescribers own handwriting. All hard copy prescriptions must be signed.   </w:t>
      </w:r>
    </w:p>
    <w:p w:rsidR="0067544C" w:rsidRPr="000431B6" w:rsidRDefault="0067544C" w:rsidP="0067544C">
      <w:r>
        <w:t>P</w:t>
      </w:r>
      <w:r w:rsidR="000431B6" w:rsidRPr="000431B6">
        <w:t>rescription</w:t>
      </w:r>
      <w:r>
        <w:t>s</w:t>
      </w:r>
      <w:r w:rsidR="000431B6" w:rsidRPr="000431B6">
        <w:t xml:space="preserve"> </w:t>
      </w:r>
      <w:r>
        <w:t>must contain</w:t>
      </w:r>
      <w:r w:rsidR="000431B6" w:rsidRPr="000431B6">
        <w:t xml:space="preserve"> all </w:t>
      </w:r>
      <w:r>
        <w:t>require</w:t>
      </w:r>
      <w:r w:rsidR="003D7E76">
        <w:t>d</w:t>
      </w:r>
      <w:r>
        <w:t xml:space="preserve"> pieces of information </w:t>
      </w:r>
      <w:r w:rsidR="000431B6" w:rsidRPr="000431B6">
        <w:t>to be a valid prescription</w:t>
      </w:r>
      <w:r>
        <w:t>. Schedule 8 prescriptions must contain the additional information necessary for these medicines.</w:t>
      </w:r>
    </w:p>
    <w:p w:rsidR="0067544C" w:rsidRPr="0067544C" w:rsidRDefault="0067544C" w:rsidP="0067544C">
      <w:pPr>
        <w:pStyle w:val="Heading2"/>
        <w:rPr>
          <w:rFonts w:eastAsiaTheme="minorHAnsi"/>
          <w:lang w:val="en-AU"/>
        </w:rPr>
      </w:pPr>
      <w:r>
        <w:rPr>
          <w:rFonts w:eastAsiaTheme="minorHAnsi"/>
        </w:rPr>
        <w:t xml:space="preserve">Ordering </w:t>
      </w:r>
      <w:r>
        <w:rPr>
          <w:rFonts w:eastAsiaTheme="minorHAnsi"/>
          <w:lang w:val="en-AU"/>
        </w:rPr>
        <w:t>medicines</w:t>
      </w:r>
      <w:r>
        <w:rPr>
          <w:rFonts w:eastAsiaTheme="minorHAnsi"/>
        </w:rPr>
        <w:t xml:space="preserve"> </w:t>
      </w:r>
      <w:r>
        <w:rPr>
          <w:rFonts w:eastAsiaTheme="minorHAnsi"/>
          <w:lang w:val="en-AU"/>
        </w:rPr>
        <w:t>for practice use</w:t>
      </w:r>
    </w:p>
    <w:p w:rsidR="0067544C" w:rsidRDefault="0067544C" w:rsidP="0067544C">
      <w:r w:rsidRPr="000431B6">
        <w:t xml:space="preserve">If </w:t>
      </w:r>
      <w:r>
        <w:t xml:space="preserve">Scheduled </w:t>
      </w:r>
      <w:r w:rsidRPr="000431B6">
        <w:t xml:space="preserve">medicines are required for </w:t>
      </w:r>
      <w:r>
        <w:t>use at</w:t>
      </w:r>
      <w:r w:rsidRPr="000431B6">
        <w:t xml:space="preserve"> </w:t>
      </w:r>
      <w:r>
        <w:t xml:space="preserve">the practitioner’s place of </w:t>
      </w:r>
      <w:r w:rsidRPr="000431B6">
        <w:t>practice, th</w:t>
      </w:r>
      <w:r>
        <w:t>e</w:t>
      </w:r>
      <w:r w:rsidRPr="000431B6">
        <w:t>s</w:t>
      </w:r>
      <w:r>
        <w:t>e can be obtained through a written requisition (e.g. “doctor’s bag”) or</w:t>
      </w:r>
      <w:r w:rsidRPr="000431B6">
        <w:t xml:space="preserve">der </w:t>
      </w:r>
      <w:r>
        <w:t xml:space="preserve">to a pharmacy, </w:t>
      </w:r>
      <w:r w:rsidRPr="000431B6">
        <w:t xml:space="preserve">or </w:t>
      </w:r>
      <w:r>
        <w:t xml:space="preserve">otherwise, </w:t>
      </w:r>
      <w:r w:rsidRPr="000431B6">
        <w:t xml:space="preserve">through a </w:t>
      </w:r>
      <w:r>
        <w:t xml:space="preserve">pharmaceutical or veterinary </w:t>
      </w:r>
      <w:r w:rsidRPr="000431B6">
        <w:t>wholesaler</w:t>
      </w:r>
      <w:r>
        <w:t xml:space="preserve">. </w:t>
      </w:r>
    </w:p>
    <w:p w:rsidR="0067544C" w:rsidRDefault="0067544C" w:rsidP="0067544C">
      <w:pPr>
        <w:pStyle w:val="Heading2"/>
      </w:pPr>
      <w:r>
        <w:rPr>
          <w:lang w:val="en-AU"/>
        </w:rPr>
        <w:t xml:space="preserve">Schedule </w:t>
      </w:r>
      <w:r>
        <w:t xml:space="preserve">8 </w:t>
      </w:r>
      <w:r>
        <w:rPr>
          <w:lang w:val="en-AU"/>
        </w:rPr>
        <w:t xml:space="preserve">medicines </w:t>
      </w:r>
      <w:r>
        <w:t>(Controlled Drugs)</w:t>
      </w:r>
    </w:p>
    <w:p w:rsidR="0067544C" w:rsidRDefault="0067544C" w:rsidP="0067544C">
      <w:pPr>
        <w:rPr>
          <w:lang w:eastAsia="x-none"/>
        </w:rPr>
      </w:pPr>
      <w:r>
        <w:rPr>
          <w:lang w:eastAsia="x-none"/>
        </w:rPr>
        <w:t xml:space="preserve">An authorised prescriber may administer a S8 medicine to a patient at any time, except in the treatment of dependence.  Prior authorisation or approval from the Department of Health is required to administer, prescribe or supply a person who is drug dependent. </w:t>
      </w:r>
    </w:p>
    <w:p w:rsidR="0067544C" w:rsidRPr="0067544C" w:rsidRDefault="0067544C" w:rsidP="0067544C">
      <w:pPr>
        <w:rPr>
          <w:lang w:eastAsia="x-none"/>
        </w:rPr>
      </w:pPr>
      <w:r>
        <w:rPr>
          <w:lang w:val="x-none" w:eastAsia="x-none"/>
        </w:rPr>
        <w:t xml:space="preserve">The prescribing of </w:t>
      </w:r>
      <w:r>
        <w:rPr>
          <w:lang w:eastAsia="x-none"/>
        </w:rPr>
        <w:t xml:space="preserve">all </w:t>
      </w:r>
      <w:r>
        <w:rPr>
          <w:lang w:val="x-none" w:eastAsia="x-none"/>
        </w:rPr>
        <w:t xml:space="preserve">S8 medicines must comply with the </w:t>
      </w:r>
      <w:r w:rsidRPr="00E33FA3">
        <w:rPr>
          <w:i/>
          <w:lang w:val="x-none" w:eastAsia="x-none"/>
        </w:rPr>
        <w:t>Schedule 8 Medicines Prescribing Code</w:t>
      </w:r>
      <w:r>
        <w:rPr>
          <w:i/>
          <w:lang w:val="x-none" w:eastAsia="x-none"/>
        </w:rPr>
        <w:t xml:space="preserve"> (the Code)</w:t>
      </w:r>
      <w:r w:rsidRPr="00E33FA3">
        <w:rPr>
          <w:i/>
          <w:lang w:val="x-none" w:eastAsia="x-none"/>
        </w:rPr>
        <w:t>.</w:t>
      </w:r>
      <w:r>
        <w:rPr>
          <w:i/>
          <w:lang w:eastAsia="x-none"/>
        </w:rPr>
        <w:t xml:space="preserve"> </w:t>
      </w:r>
      <w:r w:rsidRPr="0067544C">
        <w:rPr>
          <w:lang w:eastAsia="x-none"/>
        </w:rPr>
        <w:t>Pract</w:t>
      </w:r>
      <w:r>
        <w:rPr>
          <w:lang w:eastAsia="x-none"/>
        </w:rPr>
        <w:t>itioners</w:t>
      </w:r>
      <w:r w:rsidRPr="0067544C">
        <w:rPr>
          <w:lang w:eastAsia="x-none"/>
        </w:rPr>
        <w:t xml:space="preserve"> may not self</w:t>
      </w:r>
      <w:r>
        <w:rPr>
          <w:lang w:eastAsia="x-none"/>
        </w:rPr>
        <w:t>-</w:t>
      </w:r>
      <w:r w:rsidRPr="0067544C">
        <w:rPr>
          <w:lang w:eastAsia="x-none"/>
        </w:rPr>
        <w:t>prescribe Schedul</w:t>
      </w:r>
      <w:r>
        <w:rPr>
          <w:lang w:eastAsia="x-none"/>
        </w:rPr>
        <w:t>e</w:t>
      </w:r>
      <w:r w:rsidRPr="0067544C">
        <w:rPr>
          <w:lang w:eastAsia="x-none"/>
        </w:rPr>
        <w:t xml:space="preserve"> 8 medicines.</w:t>
      </w:r>
      <w:r>
        <w:rPr>
          <w:i/>
          <w:lang w:eastAsia="x-none"/>
        </w:rPr>
        <w:t xml:space="preserve"> </w:t>
      </w:r>
    </w:p>
    <w:p w:rsidR="0067544C" w:rsidRDefault="0067544C" w:rsidP="0067544C">
      <w:pPr>
        <w:rPr>
          <w:lang w:eastAsia="x-none"/>
        </w:rPr>
      </w:pPr>
      <w:r>
        <w:rPr>
          <w:lang w:val="x-none" w:eastAsia="x-none"/>
        </w:rPr>
        <w:t>Doctors, dentists</w:t>
      </w:r>
      <w:r>
        <w:rPr>
          <w:lang w:eastAsia="x-none"/>
        </w:rPr>
        <w:t xml:space="preserve">, nurse practitioners </w:t>
      </w:r>
      <w:r>
        <w:rPr>
          <w:lang w:val="x-none" w:eastAsia="x-none"/>
        </w:rPr>
        <w:t>and veterinary surgeons are authorised to prescribe S8 medicines</w:t>
      </w:r>
      <w:r>
        <w:rPr>
          <w:lang w:eastAsia="x-none"/>
        </w:rPr>
        <w:t>. Specific approvals are required, in advance for</w:t>
      </w:r>
      <w:r w:rsidR="005553D3">
        <w:rPr>
          <w:lang w:eastAsia="x-none"/>
        </w:rPr>
        <w:t xml:space="preserve"> Schedule 8 medicines that are</w:t>
      </w:r>
      <w:r>
        <w:rPr>
          <w:lang w:eastAsia="x-none"/>
        </w:rPr>
        <w:t>:</w:t>
      </w:r>
    </w:p>
    <w:p w:rsidR="0067544C" w:rsidRDefault="0067544C" w:rsidP="0067544C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 xml:space="preserve">Stimulants; </w:t>
      </w:r>
    </w:p>
    <w:p w:rsidR="0067544C" w:rsidRDefault="0067544C" w:rsidP="0067544C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Cannabis-Based Products; and</w:t>
      </w:r>
    </w:p>
    <w:p w:rsidR="0067544C" w:rsidRDefault="0067544C" w:rsidP="0067544C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 xml:space="preserve">Opioid pharmacotherapy for the treatment of dependence. </w:t>
      </w:r>
    </w:p>
    <w:p w:rsidR="0067544C" w:rsidRDefault="0067544C" w:rsidP="0067544C">
      <w:pPr>
        <w:rPr>
          <w:lang w:eastAsia="x-none"/>
        </w:rPr>
      </w:pPr>
      <w:r>
        <w:rPr>
          <w:lang w:eastAsia="x-none"/>
        </w:rPr>
        <w:t>Dentists and nurse</w:t>
      </w:r>
      <w:r>
        <w:rPr>
          <w:lang w:val="x-none" w:eastAsia="x-none"/>
        </w:rPr>
        <w:t xml:space="preserve"> practitioners </w:t>
      </w:r>
      <w:r>
        <w:rPr>
          <w:lang w:eastAsia="x-none"/>
        </w:rPr>
        <w:t>may prescribe S8 medicines for acute treatment, of no longer than 14 days duration. After this time, authority must be obtained from the Department of Health to continue</w:t>
      </w:r>
      <w:r w:rsidRPr="004F17EF">
        <w:rPr>
          <w:lang w:val="x-none" w:eastAsia="x-none"/>
        </w:rPr>
        <w:t xml:space="preserve"> </w:t>
      </w:r>
      <w:r>
        <w:rPr>
          <w:lang w:val="x-none" w:eastAsia="x-none"/>
        </w:rPr>
        <w:t>for each individual patient</w:t>
      </w:r>
      <w:r>
        <w:rPr>
          <w:lang w:eastAsia="x-none"/>
        </w:rPr>
        <w:t xml:space="preserve">.   </w:t>
      </w:r>
    </w:p>
    <w:p w:rsidR="0067544C" w:rsidRDefault="0067544C" w:rsidP="0067544C">
      <w:pPr>
        <w:rPr>
          <w:lang w:val="x-none" w:eastAsia="x-none"/>
        </w:rPr>
      </w:pPr>
      <w:r>
        <w:rPr>
          <w:lang w:eastAsia="x-none"/>
        </w:rPr>
        <w:t xml:space="preserve">Endorsed </w:t>
      </w:r>
      <w:r>
        <w:rPr>
          <w:lang w:val="x-none" w:eastAsia="x-none"/>
        </w:rPr>
        <w:t>podiatric surgeons can prescribe S8 medicines</w:t>
      </w:r>
      <w:r>
        <w:rPr>
          <w:lang w:eastAsia="x-none"/>
        </w:rPr>
        <w:t>, for podiatric practice, but are limited to those on the Medicines List published by the Podiatry Board of Australia</w:t>
      </w:r>
      <w:r>
        <w:rPr>
          <w:lang w:val="x-none" w:eastAsia="x-none"/>
        </w:rPr>
        <w:t>.</w:t>
      </w:r>
    </w:p>
    <w:p w:rsidR="0067544C" w:rsidRDefault="0067544C" w:rsidP="0067544C">
      <w:r>
        <w:t xml:space="preserve">Endorsed midwives can </w:t>
      </w:r>
      <w:r w:rsidRPr="005F3F27">
        <w:t>a</w:t>
      </w:r>
      <w:r>
        <w:t>dminister S8 medicines to patients under their care, but are not authorised to write prescriptions for dispensing by a pharmacist</w:t>
      </w:r>
    </w:p>
    <w:p w:rsidR="000431B6" w:rsidRPr="000431B6" w:rsidRDefault="000431B6" w:rsidP="000431B6">
      <w:pPr>
        <w:keepNext/>
        <w:keepLines/>
        <w:spacing w:before="280" w:after="100"/>
        <w:outlineLvl w:val="1"/>
        <w:rPr>
          <w:rFonts w:eastAsia="Times New Roman"/>
          <w:b/>
          <w:bCs/>
          <w:color w:val="1B2C5B"/>
          <w:sz w:val="30"/>
          <w:szCs w:val="26"/>
        </w:rPr>
      </w:pPr>
      <w:r w:rsidRPr="000431B6">
        <w:rPr>
          <w:rFonts w:eastAsia="Times New Roman"/>
          <w:b/>
          <w:bCs/>
          <w:color w:val="1B2C5B"/>
          <w:sz w:val="30"/>
          <w:szCs w:val="26"/>
        </w:rPr>
        <w:t xml:space="preserve">Emergency </w:t>
      </w:r>
      <w:r w:rsidR="0067544C">
        <w:rPr>
          <w:rFonts w:eastAsia="Times New Roman"/>
          <w:b/>
          <w:bCs/>
          <w:color w:val="1B2C5B"/>
          <w:sz w:val="30"/>
          <w:szCs w:val="26"/>
        </w:rPr>
        <w:t>s</w:t>
      </w:r>
      <w:r w:rsidRPr="000431B6">
        <w:rPr>
          <w:rFonts w:eastAsia="Times New Roman"/>
          <w:b/>
          <w:bCs/>
          <w:color w:val="1B2C5B"/>
          <w:sz w:val="30"/>
          <w:szCs w:val="26"/>
        </w:rPr>
        <w:t xml:space="preserve">upply </w:t>
      </w:r>
    </w:p>
    <w:p w:rsidR="00FB4E4B" w:rsidRDefault="0067544C" w:rsidP="0067544C">
      <w:pPr>
        <w:rPr>
          <w:lang w:eastAsia="x-none"/>
        </w:rPr>
      </w:pPr>
      <w:r>
        <w:rPr>
          <w:lang w:eastAsia="x-none"/>
        </w:rPr>
        <w:t xml:space="preserve">In an emergency, an authorised prescriber may instruct a pharmacist to dispense a medicine, by providing a direction to do so by verbal or other means. In these cases, the practitioner must send a document (prescription) as confirmation of this instruction within 24 hours. </w:t>
      </w:r>
    </w:p>
    <w:p w:rsidR="0067544C" w:rsidRDefault="0067544C" w:rsidP="0067544C">
      <w:pPr>
        <w:rPr>
          <w:lang w:eastAsia="x-none"/>
        </w:rPr>
      </w:pPr>
    </w:p>
    <w:p w:rsidR="003D7E76" w:rsidRPr="007C2ADD" w:rsidRDefault="003D7E76" w:rsidP="0067544C">
      <w:pPr>
        <w:rPr>
          <w:lang w:eastAsia="x-none"/>
        </w:rPr>
        <w:sectPr w:rsidR="003D7E76" w:rsidRPr="007C2ADD" w:rsidSect="001D4E95">
          <w:footerReference w:type="default" r:id="rId10"/>
          <w:headerReference w:type="first" r:id="rId11"/>
          <w:footerReference w:type="first" r:id="rId12"/>
          <w:pgSz w:w="11906" w:h="16838" w:code="9"/>
          <w:pgMar w:top="709" w:right="680" w:bottom="1843" w:left="680" w:header="392" w:footer="461" w:gutter="0"/>
          <w:cols w:space="708"/>
          <w:titlePg/>
          <w:docGrid w:linePitch="360"/>
        </w:sectPr>
      </w:pPr>
    </w:p>
    <w:p w:rsidR="006F3704" w:rsidRDefault="0067544C" w:rsidP="006853ED">
      <w:pPr>
        <w:pStyle w:val="Heading2"/>
      </w:pPr>
      <w:r>
        <w:rPr>
          <w:lang w:val="en-AU"/>
        </w:rPr>
        <w:lastRenderedPageBreak/>
        <w:t>Summary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2076"/>
        <w:gridCol w:w="2076"/>
        <w:gridCol w:w="29"/>
        <w:gridCol w:w="1997"/>
        <w:gridCol w:w="2126"/>
      </w:tblGrid>
      <w:tr w:rsidR="004F17EF" w:rsidRPr="00D96CD4" w:rsidTr="00905A90">
        <w:tc>
          <w:tcPr>
            <w:tcW w:w="1902" w:type="dxa"/>
            <w:vMerge w:val="restart"/>
            <w:vAlign w:val="center"/>
          </w:tcPr>
          <w:p w:rsidR="004F17EF" w:rsidRPr="004F17EF" w:rsidRDefault="004F17EF" w:rsidP="004F17EF">
            <w:pPr>
              <w:jc w:val="center"/>
              <w:rPr>
                <w:b/>
                <w:sz w:val="22"/>
                <w:lang w:val="x-none" w:eastAsia="x-none"/>
              </w:rPr>
            </w:pPr>
            <w:r w:rsidRPr="004F17EF">
              <w:rPr>
                <w:b/>
                <w:sz w:val="22"/>
                <w:lang w:val="x-none" w:eastAsia="x-none"/>
              </w:rPr>
              <w:t>Profession</w:t>
            </w:r>
          </w:p>
        </w:tc>
        <w:tc>
          <w:tcPr>
            <w:tcW w:w="8304" w:type="dxa"/>
            <w:gridSpan w:val="5"/>
            <w:vAlign w:val="center"/>
          </w:tcPr>
          <w:p w:rsidR="004F17EF" w:rsidRPr="004F17EF" w:rsidRDefault="004F17EF" w:rsidP="004F17EF">
            <w:pPr>
              <w:jc w:val="center"/>
              <w:rPr>
                <w:b/>
                <w:sz w:val="22"/>
                <w:lang w:val="x-none" w:eastAsia="x-none"/>
              </w:rPr>
            </w:pPr>
            <w:r>
              <w:rPr>
                <w:b/>
                <w:sz w:val="22"/>
                <w:lang w:eastAsia="x-none"/>
              </w:rPr>
              <w:t xml:space="preserve">Medicine Schedule </w:t>
            </w:r>
          </w:p>
        </w:tc>
      </w:tr>
      <w:tr w:rsidR="004F17EF" w:rsidRPr="00D96CD4" w:rsidTr="004F17EF">
        <w:tc>
          <w:tcPr>
            <w:tcW w:w="1902" w:type="dxa"/>
            <w:vMerge/>
            <w:vAlign w:val="center"/>
          </w:tcPr>
          <w:p w:rsidR="004F17EF" w:rsidRPr="004F17EF" w:rsidRDefault="004F17EF" w:rsidP="004F17EF">
            <w:pPr>
              <w:jc w:val="center"/>
              <w:rPr>
                <w:b/>
                <w:sz w:val="22"/>
                <w:lang w:val="x-none" w:eastAsia="x-none"/>
              </w:rPr>
            </w:pPr>
          </w:p>
        </w:tc>
        <w:tc>
          <w:tcPr>
            <w:tcW w:w="2076" w:type="dxa"/>
            <w:vAlign w:val="center"/>
          </w:tcPr>
          <w:p w:rsidR="004F17EF" w:rsidRPr="004F17EF" w:rsidRDefault="004F17EF" w:rsidP="004F17EF">
            <w:pPr>
              <w:jc w:val="center"/>
              <w:rPr>
                <w:b/>
                <w:sz w:val="22"/>
                <w:lang w:val="x-none" w:eastAsia="x-none"/>
              </w:rPr>
            </w:pPr>
            <w:r w:rsidRPr="004F17EF">
              <w:rPr>
                <w:b/>
                <w:sz w:val="22"/>
                <w:lang w:val="x-none" w:eastAsia="x-none"/>
              </w:rPr>
              <w:t>2</w:t>
            </w:r>
          </w:p>
        </w:tc>
        <w:tc>
          <w:tcPr>
            <w:tcW w:w="2076" w:type="dxa"/>
            <w:vAlign w:val="center"/>
          </w:tcPr>
          <w:p w:rsidR="004F17EF" w:rsidRPr="004F17EF" w:rsidRDefault="004F17EF" w:rsidP="004F17EF">
            <w:pPr>
              <w:jc w:val="center"/>
              <w:rPr>
                <w:b/>
                <w:sz w:val="22"/>
                <w:lang w:val="x-none" w:eastAsia="x-none"/>
              </w:rPr>
            </w:pPr>
            <w:r w:rsidRPr="004F17EF">
              <w:rPr>
                <w:b/>
                <w:sz w:val="22"/>
                <w:lang w:val="x-none" w:eastAsia="x-none"/>
              </w:rPr>
              <w:t>3</w:t>
            </w:r>
          </w:p>
        </w:tc>
        <w:tc>
          <w:tcPr>
            <w:tcW w:w="2026" w:type="dxa"/>
            <w:gridSpan w:val="2"/>
            <w:vAlign w:val="center"/>
          </w:tcPr>
          <w:p w:rsidR="004F17EF" w:rsidRPr="004F17EF" w:rsidRDefault="004F17EF" w:rsidP="004F17EF">
            <w:pPr>
              <w:jc w:val="center"/>
              <w:rPr>
                <w:b/>
                <w:sz w:val="22"/>
                <w:lang w:val="x-none" w:eastAsia="x-none"/>
              </w:rPr>
            </w:pPr>
            <w:r w:rsidRPr="004F17EF">
              <w:rPr>
                <w:b/>
                <w:sz w:val="22"/>
                <w:lang w:val="x-none" w:eastAsia="x-none"/>
              </w:rPr>
              <w:t>4</w:t>
            </w:r>
          </w:p>
        </w:tc>
        <w:tc>
          <w:tcPr>
            <w:tcW w:w="2126" w:type="dxa"/>
            <w:vAlign w:val="center"/>
          </w:tcPr>
          <w:p w:rsidR="004F17EF" w:rsidRPr="004F17EF" w:rsidRDefault="004F17EF" w:rsidP="004F17EF">
            <w:pPr>
              <w:jc w:val="center"/>
              <w:rPr>
                <w:b/>
                <w:sz w:val="22"/>
                <w:lang w:val="x-none" w:eastAsia="x-none"/>
              </w:rPr>
            </w:pPr>
            <w:r w:rsidRPr="004F17EF">
              <w:rPr>
                <w:b/>
                <w:sz w:val="22"/>
                <w:lang w:val="x-none" w:eastAsia="x-none"/>
              </w:rPr>
              <w:t>8</w:t>
            </w:r>
          </w:p>
        </w:tc>
      </w:tr>
      <w:tr w:rsidR="005E2290" w:rsidRPr="00D96CD4" w:rsidTr="004F17EF">
        <w:tc>
          <w:tcPr>
            <w:tcW w:w="1902" w:type="dxa"/>
            <w:vAlign w:val="center"/>
          </w:tcPr>
          <w:p w:rsidR="005E2290" w:rsidRPr="004F17EF" w:rsidRDefault="004F17EF" w:rsidP="004F17EF">
            <w:pPr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>Medical practitioner</w:t>
            </w:r>
          </w:p>
        </w:tc>
        <w:tc>
          <w:tcPr>
            <w:tcW w:w="8304" w:type="dxa"/>
            <w:gridSpan w:val="5"/>
            <w:vAlign w:val="center"/>
          </w:tcPr>
          <w:p w:rsidR="005E2290" w:rsidRPr="004F17EF" w:rsidRDefault="004F17EF" w:rsidP="0067544C">
            <w:pPr>
              <w:rPr>
                <w:rFonts w:cs="Arial"/>
                <w:sz w:val="22"/>
                <w:lang w:eastAsia="x-none"/>
              </w:rPr>
            </w:pPr>
            <w:r w:rsidRPr="004F17EF">
              <w:rPr>
                <w:rFonts w:cs="Arial"/>
                <w:sz w:val="22"/>
                <w:lang w:eastAsia="x-none"/>
              </w:rPr>
              <w:t xml:space="preserve">Authorised to prescribe </w:t>
            </w:r>
            <w:r w:rsidR="005E2290" w:rsidRPr="004F17EF">
              <w:rPr>
                <w:rFonts w:cs="Arial"/>
                <w:sz w:val="22"/>
                <w:lang w:val="x-none" w:eastAsia="x-none"/>
              </w:rPr>
              <w:t xml:space="preserve">all </w:t>
            </w:r>
            <w:r w:rsidRPr="004F17EF">
              <w:rPr>
                <w:rFonts w:cs="Arial"/>
                <w:sz w:val="22"/>
                <w:lang w:eastAsia="x-none"/>
              </w:rPr>
              <w:t>S</w:t>
            </w:r>
            <w:r w:rsidR="0067544C">
              <w:rPr>
                <w:rFonts w:cs="Arial"/>
                <w:sz w:val="22"/>
                <w:lang w:eastAsia="x-none"/>
              </w:rPr>
              <w:t xml:space="preserve">cheduled </w:t>
            </w:r>
            <w:r w:rsidR="005E2290" w:rsidRPr="004F17EF">
              <w:rPr>
                <w:rFonts w:cs="Arial"/>
                <w:sz w:val="22"/>
                <w:lang w:val="x-none" w:eastAsia="x-none"/>
              </w:rPr>
              <w:t>medicines</w:t>
            </w:r>
            <w:r w:rsidRPr="004F17EF">
              <w:rPr>
                <w:rFonts w:cs="Arial"/>
                <w:sz w:val="22"/>
                <w:lang w:eastAsia="x-none"/>
              </w:rPr>
              <w:t xml:space="preserve"> and </w:t>
            </w:r>
            <w:r w:rsidR="00245AF2" w:rsidRPr="004F17EF">
              <w:rPr>
                <w:rFonts w:cs="Arial"/>
                <w:sz w:val="22"/>
                <w:lang w:eastAsia="x-none"/>
              </w:rPr>
              <w:t xml:space="preserve">S8 medicines </w:t>
            </w:r>
            <w:r w:rsidR="00E33FA3" w:rsidRPr="004F17EF">
              <w:rPr>
                <w:rFonts w:cs="Arial"/>
                <w:sz w:val="22"/>
                <w:lang w:val="x-none" w:eastAsia="x-none"/>
              </w:rPr>
              <w:t xml:space="preserve">in line with the </w:t>
            </w:r>
            <w:r>
              <w:rPr>
                <w:rFonts w:cs="Arial"/>
                <w:sz w:val="22"/>
                <w:lang w:eastAsia="x-none"/>
              </w:rPr>
              <w:t>S8 prescribin</w:t>
            </w:r>
            <w:r w:rsidR="0067544C">
              <w:rPr>
                <w:rFonts w:cs="Arial"/>
                <w:sz w:val="22"/>
                <w:lang w:eastAsia="x-none"/>
              </w:rPr>
              <w:t>g</w:t>
            </w:r>
            <w:r>
              <w:rPr>
                <w:rFonts w:cs="Arial"/>
                <w:sz w:val="22"/>
                <w:lang w:eastAsia="x-none"/>
              </w:rPr>
              <w:t xml:space="preserve"> </w:t>
            </w:r>
            <w:r w:rsidR="00E33FA3" w:rsidRPr="004F17EF">
              <w:rPr>
                <w:rFonts w:cs="Arial"/>
                <w:sz w:val="22"/>
                <w:lang w:val="x-none" w:eastAsia="x-none"/>
              </w:rPr>
              <w:t>Code</w:t>
            </w:r>
            <w:r w:rsidRPr="004F17EF">
              <w:rPr>
                <w:rFonts w:cs="Arial"/>
                <w:sz w:val="22"/>
                <w:lang w:eastAsia="x-none"/>
              </w:rPr>
              <w:t xml:space="preserve"> or when approved by the Department of Health</w:t>
            </w:r>
          </w:p>
        </w:tc>
      </w:tr>
      <w:tr w:rsidR="00245AF2" w:rsidRPr="00D96CD4" w:rsidTr="004F17EF">
        <w:tc>
          <w:tcPr>
            <w:tcW w:w="1902" w:type="dxa"/>
            <w:vAlign w:val="center"/>
          </w:tcPr>
          <w:p w:rsidR="00245AF2" w:rsidRPr="004F17EF" w:rsidRDefault="00245AF2" w:rsidP="004F17EF">
            <w:pPr>
              <w:jc w:val="center"/>
              <w:rPr>
                <w:sz w:val="22"/>
                <w:lang w:val="x-none" w:eastAsia="x-none"/>
              </w:rPr>
            </w:pPr>
            <w:r w:rsidRPr="004F17EF">
              <w:rPr>
                <w:sz w:val="22"/>
                <w:lang w:val="x-none" w:eastAsia="x-none"/>
              </w:rPr>
              <w:t>Dentist</w:t>
            </w:r>
          </w:p>
        </w:tc>
        <w:tc>
          <w:tcPr>
            <w:tcW w:w="8304" w:type="dxa"/>
            <w:gridSpan w:val="5"/>
            <w:vAlign w:val="center"/>
          </w:tcPr>
          <w:p w:rsidR="00245AF2" w:rsidRPr="004F17EF" w:rsidRDefault="00245AF2" w:rsidP="0067544C">
            <w:pPr>
              <w:rPr>
                <w:sz w:val="22"/>
              </w:rPr>
            </w:pPr>
            <w:r w:rsidRPr="004F17EF">
              <w:rPr>
                <w:rFonts w:cs="Arial"/>
                <w:sz w:val="22"/>
                <w:lang w:val="x-none" w:eastAsia="x-none"/>
              </w:rPr>
              <w:t xml:space="preserve">Authorised to prescribe all </w:t>
            </w:r>
            <w:r w:rsidR="004F17EF" w:rsidRPr="004F17EF">
              <w:rPr>
                <w:rFonts w:cs="Arial"/>
                <w:sz w:val="22"/>
                <w:lang w:eastAsia="x-none"/>
              </w:rPr>
              <w:t>S</w:t>
            </w:r>
            <w:r w:rsidR="0067544C">
              <w:rPr>
                <w:rFonts w:cs="Arial"/>
                <w:sz w:val="22"/>
                <w:lang w:eastAsia="x-none"/>
              </w:rPr>
              <w:t xml:space="preserve">cheduled </w:t>
            </w:r>
            <w:r w:rsidRPr="004F17EF">
              <w:rPr>
                <w:rFonts w:cs="Arial"/>
                <w:sz w:val="22"/>
                <w:lang w:val="x-none" w:eastAsia="x-none"/>
              </w:rPr>
              <w:t>medicines</w:t>
            </w:r>
            <w:r w:rsidR="004F17EF" w:rsidRPr="004F17EF">
              <w:rPr>
                <w:rFonts w:cs="Arial"/>
                <w:sz w:val="22"/>
                <w:lang w:eastAsia="x-none"/>
              </w:rPr>
              <w:t xml:space="preserve"> for dental treatment and S</w:t>
            </w:r>
            <w:r w:rsidRPr="004F17EF">
              <w:rPr>
                <w:rFonts w:cs="Arial"/>
                <w:sz w:val="22"/>
                <w:lang w:eastAsia="x-none"/>
              </w:rPr>
              <w:t xml:space="preserve">8 medicines </w:t>
            </w:r>
            <w:r w:rsidR="004F17EF" w:rsidRPr="004F17EF">
              <w:rPr>
                <w:rFonts w:cs="Arial"/>
                <w:sz w:val="22"/>
                <w:lang w:eastAsia="x-none"/>
              </w:rPr>
              <w:t>for acute dental treatment.</w:t>
            </w:r>
          </w:p>
        </w:tc>
      </w:tr>
      <w:tr w:rsidR="004F17EF" w:rsidRPr="00D96CD4" w:rsidTr="004F17EF">
        <w:tc>
          <w:tcPr>
            <w:tcW w:w="1902" w:type="dxa"/>
            <w:vAlign w:val="center"/>
          </w:tcPr>
          <w:p w:rsidR="004F17EF" w:rsidRPr="004F17EF" w:rsidRDefault="004F17EF" w:rsidP="0067544C">
            <w:pPr>
              <w:jc w:val="center"/>
              <w:rPr>
                <w:sz w:val="22"/>
                <w:lang w:val="x-none" w:eastAsia="x-none"/>
              </w:rPr>
            </w:pPr>
            <w:r w:rsidRPr="004F17EF">
              <w:rPr>
                <w:sz w:val="22"/>
                <w:lang w:val="x-none" w:eastAsia="x-none"/>
              </w:rPr>
              <w:t xml:space="preserve">Veterinary </w:t>
            </w:r>
            <w:r>
              <w:rPr>
                <w:sz w:val="22"/>
                <w:lang w:eastAsia="x-none"/>
              </w:rPr>
              <w:t>s</w:t>
            </w:r>
            <w:r w:rsidR="0067544C">
              <w:rPr>
                <w:sz w:val="22"/>
                <w:lang w:eastAsia="x-none"/>
              </w:rPr>
              <w:t>urgeon</w:t>
            </w:r>
          </w:p>
        </w:tc>
        <w:tc>
          <w:tcPr>
            <w:tcW w:w="4181" w:type="dxa"/>
            <w:gridSpan w:val="3"/>
            <w:vAlign w:val="center"/>
          </w:tcPr>
          <w:p w:rsidR="004F17EF" w:rsidRPr="004F17EF" w:rsidRDefault="004F17EF" w:rsidP="004F17EF">
            <w:pPr>
              <w:rPr>
                <w:sz w:val="22"/>
              </w:rPr>
            </w:pPr>
            <w:r w:rsidRPr="004F17EF">
              <w:rPr>
                <w:sz w:val="22"/>
              </w:rPr>
              <w:t>NA - “Over the Counter” animal treatments are classified as Schedule 5 and Schedule 6 poisons</w:t>
            </w:r>
          </w:p>
        </w:tc>
        <w:tc>
          <w:tcPr>
            <w:tcW w:w="4123" w:type="dxa"/>
            <w:gridSpan w:val="2"/>
            <w:vAlign w:val="center"/>
          </w:tcPr>
          <w:p w:rsidR="004F17EF" w:rsidRPr="004F17EF" w:rsidRDefault="004F17EF" w:rsidP="0067544C">
            <w:pPr>
              <w:rPr>
                <w:sz w:val="22"/>
              </w:rPr>
            </w:pPr>
            <w:r w:rsidRPr="004F17EF">
              <w:rPr>
                <w:rFonts w:cs="Arial"/>
                <w:sz w:val="22"/>
                <w:lang w:val="x-none" w:eastAsia="x-none"/>
              </w:rPr>
              <w:t xml:space="preserve">Authorised to prescribe all </w:t>
            </w:r>
            <w:r w:rsidRPr="004F17EF">
              <w:rPr>
                <w:rFonts w:cs="Arial"/>
                <w:sz w:val="22"/>
                <w:lang w:eastAsia="x-none"/>
              </w:rPr>
              <w:t>S</w:t>
            </w:r>
            <w:r w:rsidR="0067544C">
              <w:rPr>
                <w:rFonts w:cs="Arial"/>
                <w:sz w:val="22"/>
                <w:lang w:eastAsia="x-none"/>
              </w:rPr>
              <w:t xml:space="preserve">cheduled </w:t>
            </w:r>
            <w:r w:rsidRPr="004F17EF">
              <w:rPr>
                <w:rFonts w:cs="Arial"/>
                <w:sz w:val="22"/>
                <w:lang w:val="x-none" w:eastAsia="x-none"/>
              </w:rPr>
              <w:t>medicines</w:t>
            </w:r>
            <w:r w:rsidRPr="004F17EF">
              <w:rPr>
                <w:rFonts w:cs="Arial"/>
                <w:sz w:val="22"/>
                <w:lang w:eastAsia="x-none"/>
              </w:rPr>
              <w:t xml:space="preserve"> for animal treatment. </w:t>
            </w:r>
          </w:p>
        </w:tc>
      </w:tr>
      <w:tr w:rsidR="005E2290" w:rsidRPr="00D96CD4" w:rsidTr="004F17EF">
        <w:tc>
          <w:tcPr>
            <w:tcW w:w="1902" w:type="dxa"/>
            <w:vAlign w:val="center"/>
          </w:tcPr>
          <w:p w:rsidR="005E2290" w:rsidRPr="004F17EF" w:rsidRDefault="005E2290" w:rsidP="0067544C">
            <w:pPr>
              <w:jc w:val="center"/>
              <w:rPr>
                <w:sz w:val="22"/>
                <w:lang w:val="x-none" w:eastAsia="x-none"/>
              </w:rPr>
            </w:pPr>
            <w:r w:rsidRPr="004F17EF">
              <w:rPr>
                <w:sz w:val="22"/>
                <w:lang w:val="x-none" w:eastAsia="x-none"/>
              </w:rPr>
              <w:t xml:space="preserve">Nurse </w:t>
            </w:r>
            <w:r w:rsidR="004F17EF">
              <w:rPr>
                <w:sz w:val="22"/>
                <w:lang w:eastAsia="x-none"/>
              </w:rPr>
              <w:t>p</w:t>
            </w:r>
            <w:r w:rsidR="0067544C">
              <w:rPr>
                <w:sz w:val="22"/>
                <w:lang w:eastAsia="x-none"/>
              </w:rPr>
              <w:t xml:space="preserve">ractitioner </w:t>
            </w:r>
          </w:p>
        </w:tc>
        <w:tc>
          <w:tcPr>
            <w:tcW w:w="8304" w:type="dxa"/>
            <w:gridSpan w:val="5"/>
            <w:vAlign w:val="center"/>
          </w:tcPr>
          <w:p w:rsidR="005E2290" w:rsidRPr="004F17EF" w:rsidRDefault="005E2290" w:rsidP="0067544C">
            <w:pPr>
              <w:rPr>
                <w:sz w:val="22"/>
                <w:lang w:eastAsia="x-none"/>
              </w:rPr>
            </w:pPr>
            <w:r w:rsidRPr="004F17EF">
              <w:rPr>
                <w:rFonts w:cs="Arial"/>
                <w:sz w:val="22"/>
                <w:lang w:val="x-none" w:eastAsia="x-none"/>
              </w:rPr>
              <w:t xml:space="preserve">Authorised to prescribe </w:t>
            </w:r>
            <w:r w:rsidR="004F17EF" w:rsidRPr="004F17EF">
              <w:rPr>
                <w:rFonts w:cs="Arial"/>
                <w:sz w:val="22"/>
                <w:lang w:eastAsia="x-none"/>
              </w:rPr>
              <w:t>S</w:t>
            </w:r>
            <w:r w:rsidR="0067544C">
              <w:rPr>
                <w:rFonts w:cs="Arial"/>
                <w:sz w:val="22"/>
                <w:lang w:eastAsia="x-none"/>
              </w:rPr>
              <w:t>cheduled</w:t>
            </w:r>
            <w:r w:rsidRPr="004F17EF">
              <w:rPr>
                <w:rFonts w:cs="Arial"/>
                <w:sz w:val="22"/>
                <w:lang w:val="x-none" w:eastAsia="x-none"/>
              </w:rPr>
              <w:t xml:space="preserve"> medicines</w:t>
            </w:r>
            <w:r w:rsidR="004F17EF" w:rsidRPr="004F17EF">
              <w:rPr>
                <w:rFonts w:cs="Arial"/>
                <w:sz w:val="22"/>
                <w:lang w:eastAsia="x-none"/>
              </w:rPr>
              <w:t xml:space="preserve">, within professional and personal scope </w:t>
            </w:r>
            <w:r w:rsidR="004F17EF" w:rsidRPr="004F17EF">
              <w:rPr>
                <w:sz w:val="22"/>
                <w:lang w:eastAsia="x-none"/>
              </w:rPr>
              <w:t xml:space="preserve">of practice, </w:t>
            </w:r>
            <w:r w:rsidR="0067544C">
              <w:rPr>
                <w:sz w:val="22"/>
                <w:lang w:eastAsia="x-none"/>
              </w:rPr>
              <w:t>a</w:t>
            </w:r>
            <w:r w:rsidR="004F17EF" w:rsidRPr="004F17EF">
              <w:rPr>
                <w:sz w:val="22"/>
                <w:lang w:eastAsia="x-none"/>
              </w:rPr>
              <w:t xml:space="preserve">nd </w:t>
            </w:r>
            <w:r w:rsidR="004F17EF" w:rsidRPr="004F17EF">
              <w:rPr>
                <w:rFonts w:cs="Arial"/>
                <w:sz w:val="22"/>
                <w:lang w:eastAsia="x-none"/>
              </w:rPr>
              <w:t>S8 medicines for acute treatment, unless otherwise approved.</w:t>
            </w:r>
          </w:p>
        </w:tc>
      </w:tr>
      <w:tr w:rsidR="005E2290" w:rsidRPr="00D96CD4" w:rsidTr="004F17EF">
        <w:tc>
          <w:tcPr>
            <w:tcW w:w="1902" w:type="dxa"/>
            <w:vAlign w:val="center"/>
          </w:tcPr>
          <w:p w:rsidR="005E2290" w:rsidRPr="004F17EF" w:rsidRDefault="005E2290" w:rsidP="004F17EF">
            <w:pPr>
              <w:jc w:val="center"/>
              <w:rPr>
                <w:sz w:val="22"/>
                <w:lang w:val="x-none" w:eastAsia="x-none"/>
              </w:rPr>
            </w:pPr>
            <w:r w:rsidRPr="004F17EF">
              <w:rPr>
                <w:sz w:val="22"/>
                <w:lang w:val="x-none" w:eastAsia="x-none"/>
              </w:rPr>
              <w:t>Endorsed optometrist</w:t>
            </w:r>
          </w:p>
        </w:tc>
        <w:tc>
          <w:tcPr>
            <w:tcW w:w="6178" w:type="dxa"/>
            <w:gridSpan w:val="4"/>
            <w:vAlign w:val="center"/>
          </w:tcPr>
          <w:p w:rsidR="005E2290" w:rsidRPr="004F17EF" w:rsidRDefault="004F17EF" w:rsidP="004F17EF">
            <w:pPr>
              <w:rPr>
                <w:sz w:val="22"/>
                <w:lang w:val="x-none" w:eastAsia="x-none"/>
              </w:rPr>
            </w:pPr>
            <w:r w:rsidRPr="004F17EF">
              <w:rPr>
                <w:sz w:val="22"/>
                <w:lang w:eastAsia="x-none"/>
              </w:rPr>
              <w:t xml:space="preserve">Authorised to </w:t>
            </w:r>
            <w:r w:rsidR="005E2290" w:rsidRPr="004F17EF">
              <w:rPr>
                <w:sz w:val="22"/>
                <w:lang w:val="x-none" w:eastAsia="x-none"/>
              </w:rPr>
              <w:t xml:space="preserve">prescribe </w:t>
            </w:r>
            <w:r w:rsidRPr="004F17EF">
              <w:rPr>
                <w:sz w:val="22"/>
                <w:lang w:eastAsia="x-none"/>
              </w:rPr>
              <w:t xml:space="preserve">according to </w:t>
            </w:r>
            <w:hyperlink r:id="rId13" w:history="1">
              <w:r w:rsidR="005E2290" w:rsidRPr="004F17EF">
                <w:rPr>
                  <w:rStyle w:val="Hyperlink"/>
                  <w:i/>
                  <w:sz w:val="22"/>
                  <w:lang w:val="x-none" w:eastAsia="x-none"/>
                </w:rPr>
                <w:t>Endorsement for scheduled medicines registration</w:t>
              </w:r>
            </w:hyperlink>
            <w:r w:rsidRPr="004F17EF">
              <w:rPr>
                <w:sz w:val="22"/>
                <w:lang w:eastAsia="x-none"/>
              </w:rPr>
              <w:t>.</w:t>
            </w:r>
            <w:r w:rsidR="005E2290" w:rsidRPr="004F17EF">
              <w:rPr>
                <w:sz w:val="22"/>
                <w:lang w:val="x-none" w:eastAsia="x-non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E2290" w:rsidRPr="004F17EF" w:rsidRDefault="005E2290" w:rsidP="004F17EF">
            <w:pPr>
              <w:jc w:val="center"/>
              <w:rPr>
                <w:sz w:val="22"/>
                <w:lang w:val="x-none" w:eastAsia="x-none"/>
              </w:rPr>
            </w:pPr>
            <w:r w:rsidRPr="004F17EF">
              <w:rPr>
                <w:sz w:val="22"/>
                <w:lang w:val="x-none" w:eastAsia="x-none"/>
              </w:rPr>
              <w:t>N</w:t>
            </w:r>
            <w:r w:rsidR="004F17EF" w:rsidRPr="004F17EF">
              <w:rPr>
                <w:sz w:val="22"/>
                <w:lang w:eastAsia="x-none"/>
              </w:rPr>
              <w:t>A</w:t>
            </w:r>
          </w:p>
        </w:tc>
      </w:tr>
      <w:tr w:rsidR="00A04754" w:rsidRPr="00D96CD4" w:rsidTr="006B44AE">
        <w:tc>
          <w:tcPr>
            <w:tcW w:w="1902" w:type="dxa"/>
            <w:vAlign w:val="center"/>
          </w:tcPr>
          <w:p w:rsidR="00A04754" w:rsidRPr="004F17EF" w:rsidRDefault="00A04754" w:rsidP="004F17EF">
            <w:pPr>
              <w:jc w:val="center"/>
              <w:rPr>
                <w:sz w:val="22"/>
                <w:lang w:eastAsia="x-none"/>
              </w:rPr>
            </w:pPr>
            <w:r w:rsidRPr="004F17EF">
              <w:rPr>
                <w:sz w:val="22"/>
                <w:lang w:val="x-none" w:eastAsia="x-none"/>
              </w:rPr>
              <w:t>Endorsed podiatrist</w:t>
            </w:r>
            <w:r w:rsidRPr="004F17EF">
              <w:rPr>
                <w:sz w:val="22"/>
                <w:lang w:eastAsia="x-none"/>
              </w:rPr>
              <w:t xml:space="preserve"> </w:t>
            </w:r>
            <w:r>
              <w:rPr>
                <w:sz w:val="22"/>
                <w:lang w:eastAsia="x-none"/>
              </w:rPr>
              <w:t xml:space="preserve">/ </w:t>
            </w:r>
            <w:r w:rsidRPr="004F17EF">
              <w:rPr>
                <w:sz w:val="22"/>
                <w:lang w:eastAsia="x-none"/>
              </w:rPr>
              <w:t>podiatric surgeon</w:t>
            </w:r>
          </w:p>
        </w:tc>
        <w:tc>
          <w:tcPr>
            <w:tcW w:w="8304" w:type="dxa"/>
            <w:gridSpan w:val="5"/>
            <w:vAlign w:val="center"/>
          </w:tcPr>
          <w:p w:rsidR="00A04754" w:rsidRPr="004F17EF" w:rsidRDefault="00A04754" w:rsidP="004F17EF">
            <w:pPr>
              <w:jc w:val="center"/>
              <w:rPr>
                <w:sz w:val="22"/>
                <w:lang w:val="x-none" w:eastAsia="x-none"/>
              </w:rPr>
            </w:pPr>
            <w:r w:rsidRPr="004F17EF">
              <w:rPr>
                <w:sz w:val="22"/>
                <w:lang w:eastAsia="x-none"/>
              </w:rPr>
              <w:t xml:space="preserve">Authorised to </w:t>
            </w:r>
            <w:r w:rsidRPr="004F17EF">
              <w:rPr>
                <w:sz w:val="22"/>
                <w:lang w:val="x-none" w:eastAsia="x-none"/>
              </w:rPr>
              <w:t xml:space="preserve">prescribe </w:t>
            </w:r>
            <w:r w:rsidRPr="004F17EF">
              <w:rPr>
                <w:sz w:val="22"/>
                <w:lang w:eastAsia="x-none"/>
              </w:rPr>
              <w:t xml:space="preserve">according to </w:t>
            </w:r>
            <w:hyperlink r:id="rId14" w:history="1">
              <w:r w:rsidRPr="00A04754">
                <w:rPr>
                  <w:rStyle w:val="Hyperlink"/>
                  <w:i/>
                  <w:sz w:val="22"/>
                  <w:lang w:val="x-none" w:eastAsia="x-none"/>
                </w:rPr>
                <w:t>Endorsement for scheduled medicines</w:t>
              </w:r>
            </w:hyperlink>
            <w:r w:rsidRPr="00A04754">
              <w:rPr>
                <w:i/>
                <w:sz w:val="22"/>
                <w:lang w:val="x-none" w:eastAsia="x-none"/>
              </w:rPr>
              <w:t>.</w:t>
            </w:r>
            <w:r w:rsidRPr="004F17EF">
              <w:rPr>
                <w:sz w:val="22"/>
                <w:lang w:val="x-none" w:eastAsia="x-none"/>
              </w:rPr>
              <w:t xml:space="preserve"> </w:t>
            </w:r>
          </w:p>
        </w:tc>
      </w:tr>
      <w:tr w:rsidR="007E61CA" w:rsidRPr="00D96CD4" w:rsidTr="004F17EF">
        <w:tc>
          <w:tcPr>
            <w:tcW w:w="1902" w:type="dxa"/>
          </w:tcPr>
          <w:p w:rsidR="007E61CA" w:rsidRPr="004F17EF" w:rsidRDefault="007E61CA" w:rsidP="004F17EF">
            <w:pPr>
              <w:jc w:val="center"/>
              <w:rPr>
                <w:sz w:val="22"/>
                <w:lang w:val="x-none" w:eastAsia="x-none"/>
              </w:rPr>
            </w:pPr>
            <w:r w:rsidRPr="004F17EF">
              <w:rPr>
                <w:sz w:val="22"/>
                <w:lang w:val="x-none" w:eastAsia="x-none"/>
              </w:rPr>
              <w:t xml:space="preserve">Endorsed </w:t>
            </w:r>
            <w:r w:rsidR="004F17EF">
              <w:rPr>
                <w:sz w:val="22"/>
                <w:lang w:eastAsia="x-none"/>
              </w:rPr>
              <w:t>m</w:t>
            </w:r>
            <w:r w:rsidRPr="004F17EF">
              <w:rPr>
                <w:sz w:val="22"/>
                <w:lang w:val="x-none" w:eastAsia="x-none"/>
              </w:rPr>
              <w:t>idwife</w:t>
            </w:r>
          </w:p>
        </w:tc>
        <w:tc>
          <w:tcPr>
            <w:tcW w:w="6178" w:type="dxa"/>
            <w:gridSpan w:val="4"/>
            <w:vAlign w:val="center"/>
          </w:tcPr>
          <w:p w:rsidR="007E61CA" w:rsidRPr="004F17EF" w:rsidRDefault="004F17EF" w:rsidP="004F17EF">
            <w:pPr>
              <w:rPr>
                <w:sz w:val="22"/>
                <w:lang w:val="x-none" w:eastAsia="x-none"/>
              </w:rPr>
            </w:pPr>
            <w:r w:rsidRPr="004F17EF">
              <w:rPr>
                <w:sz w:val="22"/>
                <w:lang w:eastAsia="x-none"/>
              </w:rPr>
              <w:t xml:space="preserve">Authorised to </w:t>
            </w:r>
            <w:r w:rsidRPr="004F17EF">
              <w:rPr>
                <w:sz w:val="22"/>
                <w:lang w:val="x-none" w:eastAsia="x-none"/>
              </w:rPr>
              <w:t xml:space="preserve">prescribe </w:t>
            </w:r>
            <w:r w:rsidRPr="004F17EF">
              <w:rPr>
                <w:sz w:val="22"/>
                <w:lang w:eastAsia="x-none"/>
              </w:rPr>
              <w:t xml:space="preserve">according to </w:t>
            </w:r>
            <w:r w:rsidR="007E61CA" w:rsidRPr="004F17EF">
              <w:rPr>
                <w:sz w:val="22"/>
                <w:lang w:val="x-none" w:eastAsia="x-none"/>
              </w:rPr>
              <w:t xml:space="preserve">the </w:t>
            </w:r>
            <w:hyperlink r:id="rId15" w:history="1">
              <w:r w:rsidR="007E61CA" w:rsidRPr="00A04754">
                <w:rPr>
                  <w:rStyle w:val="Hyperlink"/>
                  <w:i/>
                  <w:sz w:val="22"/>
                  <w:lang w:val="x-none" w:eastAsia="x-none"/>
                </w:rPr>
                <w:t>Prescribing Formulary</w:t>
              </w:r>
            </w:hyperlink>
            <w:r w:rsidRPr="004F17EF">
              <w:rPr>
                <w:sz w:val="22"/>
                <w:lang w:val="x-none" w:eastAsia="x-none"/>
              </w:rPr>
              <w:t xml:space="preserve"> </w:t>
            </w:r>
          </w:p>
        </w:tc>
        <w:tc>
          <w:tcPr>
            <w:tcW w:w="2126" w:type="dxa"/>
          </w:tcPr>
          <w:p w:rsidR="007E61CA" w:rsidRPr="004F17EF" w:rsidRDefault="004F17EF" w:rsidP="0067544C">
            <w:pPr>
              <w:jc w:val="center"/>
              <w:rPr>
                <w:sz w:val="22"/>
                <w:lang w:val="x-none" w:eastAsia="x-none"/>
              </w:rPr>
            </w:pPr>
            <w:r w:rsidRPr="004F17EF">
              <w:rPr>
                <w:sz w:val="22"/>
                <w:lang w:eastAsia="x-none"/>
              </w:rPr>
              <w:t>A</w:t>
            </w:r>
            <w:r w:rsidR="0067544C">
              <w:rPr>
                <w:sz w:val="22"/>
                <w:lang w:eastAsia="x-none"/>
              </w:rPr>
              <w:t>dministration</w:t>
            </w:r>
            <w:r w:rsidR="007E61CA" w:rsidRPr="004F17EF">
              <w:rPr>
                <w:sz w:val="22"/>
                <w:lang w:val="x-none" w:eastAsia="x-none"/>
              </w:rPr>
              <w:t xml:space="preserve"> only</w:t>
            </w:r>
          </w:p>
        </w:tc>
      </w:tr>
    </w:tbl>
    <w:p w:rsidR="00882643" w:rsidRDefault="00610229" w:rsidP="006853ED">
      <w:pPr>
        <w:pStyle w:val="Heading2"/>
      </w:pPr>
      <w:r>
        <w:t>Where can I get more information?</w:t>
      </w:r>
    </w:p>
    <w:p w:rsidR="00E33FA3" w:rsidRDefault="00E33FA3" w:rsidP="00610229">
      <w:r>
        <w:t>Contact t</w:t>
      </w:r>
      <w:r w:rsidR="008F6265">
        <w:t xml:space="preserve">he Medicines and Poisons Regulation Branch on (08) 9222 6883 from </w:t>
      </w:r>
      <w:r w:rsidR="00610229">
        <w:t>Mo</w:t>
      </w:r>
      <w:r w:rsidR="00F1408D">
        <w:t>nday to Friday 8.30am to 4.30pm.</w:t>
      </w:r>
    </w:p>
    <w:sectPr w:rsidR="00E33FA3" w:rsidSect="001D4E95">
      <w:headerReference w:type="first" r:id="rId16"/>
      <w:footerReference w:type="first" r:id="rId17"/>
      <w:pgSz w:w="11906" w:h="16838" w:code="9"/>
      <w:pgMar w:top="709" w:right="680" w:bottom="1843" w:left="680" w:header="392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D4" w:rsidRDefault="00D96CD4" w:rsidP="0013662A">
      <w:pPr>
        <w:spacing w:after="0"/>
      </w:pPr>
      <w:r>
        <w:separator/>
      </w:r>
    </w:p>
  </w:endnote>
  <w:endnote w:type="continuationSeparator" w:id="0">
    <w:p w:rsidR="00D96CD4" w:rsidRDefault="00D96CD4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roman"/>
    <w:notTrueType/>
    <w:pitch w:val="default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37775"/>
      <w:docPartObj>
        <w:docPartGallery w:val="Page Numbers (Bottom of Page)"/>
        <w:docPartUnique/>
      </w:docPartObj>
    </w:sdtPr>
    <w:sdtEndPr>
      <w:rPr>
        <w:noProof/>
        <w:color w:val="4F81BD" w:themeColor="accent1"/>
        <w:sz w:val="28"/>
        <w:szCs w:val="28"/>
      </w:rPr>
    </w:sdtEndPr>
    <w:sdtContent>
      <w:p w:rsidR="003D7E76" w:rsidRPr="003D7E76" w:rsidRDefault="003D7E76">
        <w:pPr>
          <w:pStyle w:val="Footer"/>
          <w:jc w:val="center"/>
          <w:rPr>
            <w:color w:val="4F81BD" w:themeColor="accent1"/>
            <w:sz w:val="28"/>
            <w:szCs w:val="28"/>
          </w:rPr>
        </w:pPr>
        <w:r w:rsidRPr="003D7E76">
          <w:rPr>
            <w:color w:val="4F81BD" w:themeColor="accent1"/>
            <w:sz w:val="28"/>
            <w:szCs w:val="28"/>
          </w:rPr>
          <w:fldChar w:fldCharType="begin"/>
        </w:r>
        <w:r w:rsidRPr="003D7E76">
          <w:rPr>
            <w:color w:val="4F81BD" w:themeColor="accent1"/>
            <w:sz w:val="28"/>
            <w:szCs w:val="28"/>
          </w:rPr>
          <w:instrText xml:space="preserve"> PAGE   \* MERGEFORMAT </w:instrText>
        </w:r>
        <w:r w:rsidRPr="003D7E76">
          <w:rPr>
            <w:color w:val="4F81BD" w:themeColor="accent1"/>
            <w:sz w:val="28"/>
            <w:szCs w:val="28"/>
          </w:rPr>
          <w:fldChar w:fldCharType="separate"/>
        </w:r>
        <w:r w:rsidR="00D53DBE">
          <w:rPr>
            <w:noProof/>
            <w:color w:val="4F81BD" w:themeColor="accent1"/>
            <w:sz w:val="28"/>
            <w:szCs w:val="28"/>
          </w:rPr>
          <w:t>2</w:t>
        </w:r>
        <w:r w:rsidRPr="003D7E76">
          <w:rPr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:rsidR="00252B48" w:rsidRPr="003D7E76" w:rsidRDefault="00252B48" w:rsidP="003D7E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B48" w:rsidRPr="00232283" w:rsidRDefault="00252B48" w:rsidP="00232283">
    <w:pPr>
      <w:spacing w:after="240"/>
      <w:rPr>
        <w:b/>
        <w:color w:val="1B2C5B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76" w:rsidRDefault="00D53DBE" w:rsidP="003D7E76">
    <w:pPr>
      <w:spacing w:after="300"/>
      <w:ind w:right="-1"/>
    </w:pPr>
    <w:r>
      <w:t>© Department of Health 2019</w:t>
    </w:r>
  </w:p>
  <w:p w:rsidR="003D7E76" w:rsidRPr="00BA2E3B" w:rsidRDefault="003D7E76" w:rsidP="003D7E76">
    <w:pPr>
      <w:pStyle w:val="TEXT"/>
      <w:spacing w:line="240" w:lineRule="auto"/>
      <w:rPr>
        <w:rFonts w:ascii="Arial" w:hAnsi="Arial"/>
        <w:color w:val="1B2C5B"/>
        <w:sz w:val="20"/>
        <w:szCs w:val="20"/>
      </w:rPr>
    </w:pPr>
    <w:r w:rsidRPr="00483052">
      <w:rPr>
        <w:rFonts w:ascii="Arial" w:hAnsi="Arial"/>
        <w:color w:val="1B2C5B"/>
        <w:sz w:val="28"/>
        <w:szCs w:val="28"/>
      </w:rPr>
      <w:t>health</w:t>
    </w:r>
    <w:r>
      <w:rPr>
        <w:rFonts w:ascii="Arial" w:hAnsi="Arial"/>
        <w:color w:val="1B2C5B"/>
        <w:sz w:val="28"/>
        <w:szCs w:val="28"/>
      </w:rPr>
      <w:t>ywa</w:t>
    </w:r>
    <w:r w:rsidRPr="00483052">
      <w:rPr>
        <w:rFonts w:ascii="Arial" w:hAnsi="Arial"/>
        <w:color w:val="1B2C5B"/>
        <w:sz w:val="28"/>
        <w:szCs w:val="28"/>
      </w:rPr>
      <w:t>.wa.gov.au</w:t>
    </w:r>
    <w:r>
      <w:rPr>
        <w:rFonts w:ascii="Arial" w:hAnsi="Arial"/>
        <w:color w:val="1B2C5B"/>
        <w:sz w:val="28"/>
        <w:szCs w:val="28"/>
      </w:rPr>
      <w:tab/>
    </w:r>
    <w:r>
      <w:rPr>
        <w:rFonts w:ascii="Arial" w:hAnsi="Arial"/>
        <w:color w:val="1B2C5B"/>
        <w:sz w:val="28"/>
        <w:szCs w:val="28"/>
      </w:rPr>
      <w:tab/>
    </w:r>
    <w:r>
      <w:rPr>
        <w:rFonts w:ascii="Arial" w:hAnsi="Arial"/>
        <w:color w:val="1B2C5B"/>
        <w:sz w:val="28"/>
        <w:szCs w:val="28"/>
      </w:rPr>
      <w:tab/>
    </w:r>
    <w:r>
      <w:rPr>
        <w:rFonts w:ascii="Arial" w:hAnsi="Arial"/>
        <w:color w:val="1B2C5B"/>
        <w:sz w:val="28"/>
        <w:szCs w:val="28"/>
      </w:rPr>
      <w:tab/>
    </w:r>
    <w:r w:rsidRPr="003D7E76">
      <w:rPr>
        <w:rFonts w:ascii="Arial" w:hAnsi="Arial"/>
        <w:color w:val="4F81BD" w:themeColor="accent1"/>
        <w:sz w:val="28"/>
        <w:szCs w:val="28"/>
      </w:rPr>
      <w:fldChar w:fldCharType="begin"/>
    </w:r>
    <w:r w:rsidRPr="003D7E76">
      <w:rPr>
        <w:rFonts w:ascii="Arial" w:hAnsi="Arial"/>
        <w:color w:val="4F81BD" w:themeColor="accent1"/>
        <w:sz w:val="28"/>
        <w:szCs w:val="28"/>
      </w:rPr>
      <w:instrText xml:space="preserve"> PAGE  \* Arabic  \* MERGEFORMAT </w:instrText>
    </w:r>
    <w:r w:rsidRPr="003D7E76">
      <w:rPr>
        <w:rFonts w:ascii="Arial" w:hAnsi="Arial"/>
        <w:color w:val="4F81BD" w:themeColor="accent1"/>
        <w:sz w:val="28"/>
        <w:szCs w:val="28"/>
      </w:rPr>
      <w:fldChar w:fldCharType="separate"/>
    </w:r>
    <w:r w:rsidR="00D53DBE">
      <w:rPr>
        <w:rFonts w:ascii="Arial" w:hAnsi="Arial"/>
        <w:noProof/>
        <w:color w:val="4F81BD" w:themeColor="accent1"/>
        <w:sz w:val="28"/>
        <w:szCs w:val="28"/>
      </w:rPr>
      <w:t>3</w:t>
    </w:r>
    <w:r w:rsidRPr="003D7E76">
      <w:rPr>
        <w:rFonts w:ascii="Arial" w:hAnsi="Arial"/>
        <w:color w:val="4F81BD" w:themeColor="accent1"/>
        <w:sz w:val="28"/>
        <w:szCs w:val="28"/>
      </w:rPr>
      <w:fldChar w:fldCharType="end"/>
    </w:r>
    <w:r w:rsidR="00BA2E3B">
      <w:rPr>
        <w:rFonts w:ascii="Arial" w:hAnsi="Arial"/>
        <w:color w:val="4F81BD" w:themeColor="accent1"/>
        <w:sz w:val="28"/>
        <w:szCs w:val="28"/>
      </w:rPr>
      <w:tab/>
    </w:r>
    <w:r w:rsidR="00BA2E3B">
      <w:rPr>
        <w:rFonts w:ascii="Arial" w:hAnsi="Arial"/>
        <w:color w:val="4F81BD" w:themeColor="accent1"/>
        <w:sz w:val="28"/>
        <w:szCs w:val="28"/>
      </w:rPr>
      <w:tab/>
    </w:r>
    <w:r w:rsidR="00BA2E3B">
      <w:rPr>
        <w:rFonts w:ascii="Arial" w:hAnsi="Arial"/>
        <w:color w:val="4F81BD" w:themeColor="accent1"/>
        <w:sz w:val="28"/>
        <w:szCs w:val="28"/>
      </w:rPr>
      <w:tab/>
    </w:r>
    <w:r w:rsidR="00BA2E3B">
      <w:rPr>
        <w:rFonts w:ascii="Arial" w:hAnsi="Arial"/>
        <w:color w:val="4F81BD" w:themeColor="accent1"/>
        <w:sz w:val="28"/>
        <w:szCs w:val="28"/>
      </w:rPr>
      <w:tab/>
    </w:r>
    <w:r w:rsidR="00BA2E3B">
      <w:rPr>
        <w:rFonts w:ascii="Arial" w:hAnsi="Arial"/>
        <w:color w:val="4F81BD" w:themeColor="accent1"/>
        <w:sz w:val="28"/>
        <w:szCs w:val="28"/>
      </w:rPr>
      <w:tab/>
    </w:r>
    <w:r w:rsidR="00BA2E3B">
      <w:rPr>
        <w:rFonts w:ascii="Arial" w:hAnsi="Arial"/>
        <w:color w:val="4F81BD" w:themeColor="accent1"/>
        <w:sz w:val="28"/>
        <w:szCs w:val="28"/>
      </w:rPr>
      <w:tab/>
    </w:r>
    <w:r w:rsidR="00BA2E3B" w:rsidRPr="00BA2E3B">
      <w:rPr>
        <w:rFonts w:ascii="Arial" w:hAnsi="Arial"/>
        <w:color w:val="auto"/>
        <w:sz w:val="20"/>
        <w:szCs w:val="20"/>
      </w:rPr>
      <w:t>D00044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D4" w:rsidRDefault="00D96CD4" w:rsidP="0013662A">
      <w:pPr>
        <w:spacing w:after="0"/>
      </w:pPr>
      <w:r>
        <w:separator/>
      </w:r>
    </w:p>
  </w:footnote>
  <w:footnote w:type="continuationSeparator" w:id="0">
    <w:p w:rsidR="00D96CD4" w:rsidRDefault="00D96CD4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B48" w:rsidRDefault="00245AF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1C8D566C" wp14:editId="75392667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76" w:rsidRDefault="003D7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316"/>
    <w:multiLevelType w:val="hybridMultilevel"/>
    <w:tmpl w:val="84D20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7322C"/>
    <w:multiLevelType w:val="hybridMultilevel"/>
    <w:tmpl w:val="63287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C2181"/>
    <w:multiLevelType w:val="hybridMultilevel"/>
    <w:tmpl w:val="2202F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2145C"/>
    <w:multiLevelType w:val="hybridMultilevel"/>
    <w:tmpl w:val="7DCEEF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A36F4"/>
    <w:multiLevelType w:val="hybridMultilevel"/>
    <w:tmpl w:val="B4C68A0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9220C5"/>
    <w:multiLevelType w:val="hybridMultilevel"/>
    <w:tmpl w:val="B2F608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CD67E8"/>
    <w:multiLevelType w:val="hybridMultilevel"/>
    <w:tmpl w:val="F7C83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56C05"/>
    <w:multiLevelType w:val="hybridMultilevel"/>
    <w:tmpl w:val="A01E36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25D40"/>
    <w:multiLevelType w:val="hybridMultilevel"/>
    <w:tmpl w:val="4FBA1E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B2E57D3"/>
    <w:multiLevelType w:val="hybridMultilevel"/>
    <w:tmpl w:val="077ED3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D12113"/>
    <w:multiLevelType w:val="hybridMultilevel"/>
    <w:tmpl w:val="115659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2E3B2A"/>
    <w:multiLevelType w:val="hybridMultilevel"/>
    <w:tmpl w:val="DC7E4A9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35943FB"/>
    <w:multiLevelType w:val="hybridMultilevel"/>
    <w:tmpl w:val="7E84FD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97561"/>
    <w:multiLevelType w:val="hybridMultilevel"/>
    <w:tmpl w:val="DBDAB2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9A38D0"/>
    <w:multiLevelType w:val="hybridMultilevel"/>
    <w:tmpl w:val="A00A1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B2C5B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86DD0"/>
    <w:multiLevelType w:val="hybridMultilevel"/>
    <w:tmpl w:val="446401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EA62C2"/>
    <w:multiLevelType w:val="hybridMultilevel"/>
    <w:tmpl w:val="E6F83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23457"/>
    <w:multiLevelType w:val="hybridMultilevel"/>
    <w:tmpl w:val="5E32245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7"/>
  </w:num>
  <w:num w:numId="5">
    <w:abstractNumId w:val="10"/>
  </w:num>
  <w:num w:numId="6">
    <w:abstractNumId w:val="18"/>
  </w:num>
  <w:num w:numId="7">
    <w:abstractNumId w:val="3"/>
  </w:num>
  <w:num w:numId="8">
    <w:abstractNumId w:val="8"/>
  </w:num>
  <w:num w:numId="9">
    <w:abstractNumId w:val="16"/>
  </w:num>
  <w:num w:numId="10">
    <w:abstractNumId w:val="4"/>
  </w:num>
  <w:num w:numId="11">
    <w:abstractNumId w:val="0"/>
  </w:num>
  <w:num w:numId="12">
    <w:abstractNumId w:val="6"/>
  </w:num>
  <w:num w:numId="13">
    <w:abstractNumId w:val="2"/>
  </w:num>
  <w:num w:numId="14">
    <w:abstractNumId w:val="1"/>
  </w:num>
  <w:num w:numId="15">
    <w:abstractNumId w:val="11"/>
  </w:num>
  <w:num w:numId="16">
    <w:abstractNumId w:val="5"/>
  </w:num>
  <w:num w:numId="17">
    <w:abstractNumId w:val="9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41D1A"/>
    <w:rsid w:val="000431B6"/>
    <w:rsid w:val="000817F3"/>
    <w:rsid w:val="000A778B"/>
    <w:rsid w:val="000C5B08"/>
    <w:rsid w:val="0010124D"/>
    <w:rsid w:val="0013662A"/>
    <w:rsid w:val="001437E0"/>
    <w:rsid w:val="00171B7B"/>
    <w:rsid w:val="001C2F23"/>
    <w:rsid w:val="001C7D1F"/>
    <w:rsid w:val="001D4E95"/>
    <w:rsid w:val="001E333E"/>
    <w:rsid w:val="001F6030"/>
    <w:rsid w:val="001F68E9"/>
    <w:rsid w:val="00220E8F"/>
    <w:rsid w:val="00232283"/>
    <w:rsid w:val="00245AF2"/>
    <w:rsid w:val="00246F3F"/>
    <w:rsid w:val="00252B48"/>
    <w:rsid w:val="00275114"/>
    <w:rsid w:val="002C7D7D"/>
    <w:rsid w:val="002E5F5B"/>
    <w:rsid w:val="003402D5"/>
    <w:rsid w:val="00355004"/>
    <w:rsid w:val="003929E7"/>
    <w:rsid w:val="003D7E76"/>
    <w:rsid w:val="00452B83"/>
    <w:rsid w:val="00466DB9"/>
    <w:rsid w:val="00471692"/>
    <w:rsid w:val="004779E5"/>
    <w:rsid w:val="00483052"/>
    <w:rsid w:val="00485CAA"/>
    <w:rsid w:val="00492C70"/>
    <w:rsid w:val="004A609E"/>
    <w:rsid w:val="004C2780"/>
    <w:rsid w:val="004C27CB"/>
    <w:rsid w:val="004C4EA5"/>
    <w:rsid w:val="004C6976"/>
    <w:rsid w:val="004F17EF"/>
    <w:rsid w:val="004F2ABC"/>
    <w:rsid w:val="004F7813"/>
    <w:rsid w:val="00515DC6"/>
    <w:rsid w:val="00521D1A"/>
    <w:rsid w:val="005553D3"/>
    <w:rsid w:val="0056716B"/>
    <w:rsid w:val="00597A85"/>
    <w:rsid w:val="005A409E"/>
    <w:rsid w:val="005D455D"/>
    <w:rsid w:val="005E2290"/>
    <w:rsid w:val="005F3F27"/>
    <w:rsid w:val="00610229"/>
    <w:rsid w:val="0067544C"/>
    <w:rsid w:val="006853ED"/>
    <w:rsid w:val="006E6957"/>
    <w:rsid w:val="006F1E2D"/>
    <w:rsid w:val="006F3704"/>
    <w:rsid w:val="006F52D0"/>
    <w:rsid w:val="00736C40"/>
    <w:rsid w:val="00753150"/>
    <w:rsid w:val="0077027C"/>
    <w:rsid w:val="00794DF0"/>
    <w:rsid w:val="007C2ADD"/>
    <w:rsid w:val="007C3222"/>
    <w:rsid w:val="007D3AE7"/>
    <w:rsid w:val="007D793C"/>
    <w:rsid w:val="007E61CA"/>
    <w:rsid w:val="0083428C"/>
    <w:rsid w:val="00881846"/>
    <w:rsid w:val="00882643"/>
    <w:rsid w:val="00897837"/>
    <w:rsid w:val="008C6F0A"/>
    <w:rsid w:val="008E3665"/>
    <w:rsid w:val="008F6265"/>
    <w:rsid w:val="008F7FE4"/>
    <w:rsid w:val="00915E98"/>
    <w:rsid w:val="009268E4"/>
    <w:rsid w:val="00930DF8"/>
    <w:rsid w:val="00933CEB"/>
    <w:rsid w:val="009668ED"/>
    <w:rsid w:val="00981DA1"/>
    <w:rsid w:val="00990D6C"/>
    <w:rsid w:val="00991D16"/>
    <w:rsid w:val="009B0844"/>
    <w:rsid w:val="009B5A54"/>
    <w:rsid w:val="009C3878"/>
    <w:rsid w:val="009C3BF4"/>
    <w:rsid w:val="00A02832"/>
    <w:rsid w:val="00A04754"/>
    <w:rsid w:val="00A16878"/>
    <w:rsid w:val="00A24F5C"/>
    <w:rsid w:val="00A33EFD"/>
    <w:rsid w:val="00A51C51"/>
    <w:rsid w:val="00A91C4C"/>
    <w:rsid w:val="00AA1620"/>
    <w:rsid w:val="00AB04BE"/>
    <w:rsid w:val="00AF0C79"/>
    <w:rsid w:val="00B02742"/>
    <w:rsid w:val="00B17ECC"/>
    <w:rsid w:val="00B85FD3"/>
    <w:rsid w:val="00BA2E3B"/>
    <w:rsid w:val="00BA6363"/>
    <w:rsid w:val="00BB5682"/>
    <w:rsid w:val="00BD250E"/>
    <w:rsid w:val="00BD41EB"/>
    <w:rsid w:val="00BD7C33"/>
    <w:rsid w:val="00BE3C2D"/>
    <w:rsid w:val="00C047F8"/>
    <w:rsid w:val="00C3068D"/>
    <w:rsid w:val="00C573E1"/>
    <w:rsid w:val="00C7143D"/>
    <w:rsid w:val="00C729CE"/>
    <w:rsid w:val="00CA15ED"/>
    <w:rsid w:val="00CF2778"/>
    <w:rsid w:val="00CF64E2"/>
    <w:rsid w:val="00D147D4"/>
    <w:rsid w:val="00D53DBE"/>
    <w:rsid w:val="00D636EE"/>
    <w:rsid w:val="00D71310"/>
    <w:rsid w:val="00D77EC5"/>
    <w:rsid w:val="00D9301F"/>
    <w:rsid w:val="00D96CD4"/>
    <w:rsid w:val="00DB3E67"/>
    <w:rsid w:val="00DD22D0"/>
    <w:rsid w:val="00DE4BFE"/>
    <w:rsid w:val="00DF78F2"/>
    <w:rsid w:val="00E10CE3"/>
    <w:rsid w:val="00E33FA3"/>
    <w:rsid w:val="00E40563"/>
    <w:rsid w:val="00E47483"/>
    <w:rsid w:val="00E775B0"/>
    <w:rsid w:val="00EE2431"/>
    <w:rsid w:val="00F1408D"/>
    <w:rsid w:val="00F647BD"/>
    <w:rsid w:val="00F84D6A"/>
    <w:rsid w:val="00FB4E4B"/>
    <w:rsid w:val="00FF0D8D"/>
    <w:rsid w:val="00FF19AF"/>
    <w:rsid w:val="00FF2D8F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1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="Times New Roman"/>
      <w:bCs/>
      <w:color w:val="1B2C5B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="Times New Roman"/>
      <w:b/>
      <w:bCs/>
      <w:color w:val="1B2C5B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="Times New Roman"/>
      <w:b/>
      <w:bCs/>
      <w:color w:val="1B2C5B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753150"/>
    <w:rPr>
      <w:rFonts w:ascii="Arial" w:eastAsia="Times New Roman" w:hAnsi="Arial" w:cs="Times New Roman"/>
      <w:bCs/>
      <w:color w:val="1B2C5B"/>
      <w:sz w:val="64"/>
      <w:szCs w:val="28"/>
    </w:rPr>
  </w:style>
  <w:style w:type="character" w:customStyle="1" w:styleId="Heading2Char">
    <w:name w:val="Heading 2 Char"/>
    <w:link w:val="Heading2"/>
    <w:uiPriority w:val="9"/>
    <w:rsid w:val="002E5F5B"/>
    <w:rPr>
      <w:rFonts w:ascii="Arial" w:eastAsia="Times New Roman" w:hAnsi="Arial" w:cs="Times New Roman"/>
      <w:b/>
      <w:bCs/>
      <w:color w:val="1B2C5B"/>
      <w:sz w:val="30"/>
      <w:szCs w:val="26"/>
    </w:rPr>
  </w:style>
  <w:style w:type="character" w:customStyle="1" w:styleId="Heading3Char">
    <w:name w:val="Heading 3 Char"/>
    <w:link w:val="Heading3"/>
    <w:uiPriority w:val="9"/>
    <w:rsid w:val="0013662A"/>
    <w:rPr>
      <w:rFonts w:ascii="Arial" w:eastAsia="Times New Roman" w:hAnsi="Arial" w:cs="Times New Roman"/>
      <w:b/>
      <w:bCs/>
      <w:color w:val="1B2C5B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qFormat/>
    <w:rsid w:val="00981DA1"/>
    <w:pPr>
      <w:spacing w:after="0" w:line="276" w:lineRule="auto"/>
      <w:outlineLvl w:val="9"/>
    </w:pPr>
    <w:rPr>
      <w:rFonts w:ascii="Cambria" w:hAnsi="Cambria"/>
      <w:color w:val="142044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142044"/>
    </w:rPr>
    <w:tblPr>
      <w:tblStyleRowBandSize w:val="1"/>
      <w:tblStyleColBandSize w:val="1"/>
      <w:tblBorders>
        <w:top w:val="single" w:sz="8" w:space="0" w:color="1B2C5B"/>
        <w:bottom w:val="single" w:sz="8" w:space="0" w:color="1B2C5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  <w:insideH w:val="single" w:sz="8" w:space="0" w:color="1B2C5B"/>
        <w:insideV w:val="single" w:sz="8" w:space="0" w:color="1B2C5B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1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  <w:shd w:val="clear" w:color="auto" w:fill="B4C2E8"/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  <w:shd w:val="clear" w:color="auto" w:fill="B4C2E8"/>
      </w:tcPr>
    </w:tblStylePr>
    <w:tblStylePr w:type="band2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1B2C5B"/>
          <w:left w:val="single" w:sz="8" w:space="0" w:color="1B2C5B"/>
          <w:bottom w:val="single" w:sz="1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  <w:shd w:val="clear" w:color="auto" w:fill="B4C2E8"/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  <w:shd w:val="clear" w:color="auto" w:fill="1B2C5B"/>
      </w:tcPr>
    </w:tblStylePr>
    <w:tblStylePr w:type="band2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3150A6"/>
        <w:left w:val="single" w:sz="8" w:space="0" w:color="3150A6"/>
        <w:bottom w:val="single" w:sz="8" w:space="0" w:color="3150A6"/>
        <w:right w:val="single" w:sz="8" w:space="0" w:color="3150A6"/>
        <w:insideH w:val="single" w:sz="8" w:space="0" w:color="3150A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1B2C5B"/>
        <w:bottom w:val="single" w:sz="8" w:space="0" w:color="1B2C5B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1B2C5B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band1Vert">
      <w:tblPr/>
      <w:tcPr>
        <w:shd w:val="clear" w:color="auto" w:fill="B4C2E8"/>
      </w:tcPr>
    </w:tblStylePr>
    <w:tblStylePr w:type="band1Horz">
      <w:tblPr/>
      <w:tcPr>
        <w:shd w:val="clear" w:color="auto" w:fill="B4C2E8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1B2C5B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band1Vert">
      <w:tblPr/>
      <w:tcPr>
        <w:shd w:val="clear" w:color="auto" w:fill="B4C2E8"/>
      </w:tcPr>
    </w:tblStylePr>
    <w:tblStylePr w:type="band1Horz">
      <w:tblPr/>
      <w:tcPr>
        <w:shd w:val="clear" w:color="auto" w:fill="1B2C5B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B2C5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B2C5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B2C5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B2C5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styleId="NormalWeb">
    <w:name w:val="Normal (Web)"/>
    <w:basedOn w:val="Normal"/>
    <w:rsid w:val="00DB3E6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Strong">
    <w:name w:val="Strong"/>
    <w:qFormat/>
    <w:rsid w:val="00DB3E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1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="Times New Roman"/>
      <w:bCs/>
      <w:color w:val="1B2C5B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="Times New Roman"/>
      <w:b/>
      <w:bCs/>
      <w:color w:val="1B2C5B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="Times New Roman"/>
      <w:b/>
      <w:bCs/>
      <w:color w:val="1B2C5B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753150"/>
    <w:rPr>
      <w:rFonts w:ascii="Arial" w:eastAsia="Times New Roman" w:hAnsi="Arial" w:cs="Times New Roman"/>
      <w:bCs/>
      <w:color w:val="1B2C5B"/>
      <w:sz w:val="64"/>
      <w:szCs w:val="28"/>
    </w:rPr>
  </w:style>
  <w:style w:type="character" w:customStyle="1" w:styleId="Heading2Char">
    <w:name w:val="Heading 2 Char"/>
    <w:link w:val="Heading2"/>
    <w:uiPriority w:val="9"/>
    <w:rsid w:val="002E5F5B"/>
    <w:rPr>
      <w:rFonts w:ascii="Arial" w:eastAsia="Times New Roman" w:hAnsi="Arial" w:cs="Times New Roman"/>
      <w:b/>
      <w:bCs/>
      <w:color w:val="1B2C5B"/>
      <w:sz w:val="30"/>
      <w:szCs w:val="26"/>
    </w:rPr>
  </w:style>
  <w:style w:type="character" w:customStyle="1" w:styleId="Heading3Char">
    <w:name w:val="Heading 3 Char"/>
    <w:link w:val="Heading3"/>
    <w:uiPriority w:val="9"/>
    <w:rsid w:val="0013662A"/>
    <w:rPr>
      <w:rFonts w:ascii="Arial" w:eastAsia="Times New Roman" w:hAnsi="Arial" w:cs="Times New Roman"/>
      <w:b/>
      <w:bCs/>
      <w:color w:val="1B2C5B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qFormat/>
    <w:rsid w:val="00981DA1"/>
    <w:pPr>
      <w:spacing w:after="0" w:line="276" w:lineRule="auto"/>
      <w:outlineLvl w:val="9"/>
    </w:pPr>
    <w:rPr>
      <w:rFonts w:ascii="Cambria" w:hAnsi="Cambria"/>
      <w:color w:val="142044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142044"/>
    </w:rPr>
    <w:tblPr>
      <w:tblStyleRowBandSize w:val="1"/>
      <w:tblStyleColBandSize w:val="1"/>
      <w:tblBorders>
        <w:top w:val="single" w:sz="8" w:space="0" w:color="1B2C5B"/>
        <w:bottom w:val="single" w:sz="8" w:space="0" w:color="1B2C5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/>
          <w:left w:val="nil"/>
          <w:bottom w:val="single" w:sz="8" w:space="0" w:color="1B2C5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  <w:insideH w:val="single" w:sz="8" w:space="0" w:color="1B2C5B"/>
        <w:insideV w:val="single" w:sz="8" w:space="0" w:color="1B2C5B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1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  <w:shd w:val="clear" w:color="auto" w:fill="B4C2E8"/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  <w:shd w:val="clear" w:color="auto" w:fill="B4C2E8"/>
      </w:tcPr>
    </w:tblStylePr>
    <w:tblStylePr w:type="band2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1B2C5B"/>
          <w:left w:val="single" w:sz="8" w:space="0" w:color="1B2C5B"/>
          <w:bottom w:val="single" w:sz="1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B2C5B"/>
          <w:left w:val="single" w:sz="8" w:space="0" w:color="1B2C5B"/>
          <w:bottom w:val="single" w:sz="8" w:space="0" w:color="1B2C5B"/>
          <w:right w:val="single" w:sz="8" w:space="0" w:color="1B2C5B"/>
          <w:insideH w:val="nil"/>
          <w:insideV w:val="single" w:sz="8" w:space="0" w:color="1B2C5B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</w:tcPr>
    </w:tblStylePr>
    <w:tblStylePr w:type="band1Vert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</w:tcBorders>
        <w:shd w:val="clear" w:color="auto" w:fill="B4C2E8"/>
      </w:tcPr>
    </w:tblStylePr>
    <w:tblStylePr w:type="band1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  <w:shd w:val="clear" w:color="auto" w:fill="1B2C5B"/>
      </w:tcPr>
    </w:tblStylePr>
    <w:tblStylePr w:type="band2Horz">
      <w:tblPr/>
      <w:tcPr>
        <w:tcBorders>
          <w:top w:val="single" w:sz="8" w:space="0" w:color="1B2C5B"/>
          <w:left w:val="single" w:sz="8" w:space="0" w:color="1B2C5B"/>
          <w:bottom w:val="single" w:sz="8" w:space="0" w:color="1B2C5B"/>
          <w:right w:val="single" w:sz="8" w:space="0" w:color="1B2C5B"/>
          <w:insideV w:val="single" w:sz="8" w:space="0" w:color="1B2C5B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3150A6"/>
        <w:left w:val="single" w:sz="8" w:space="0" w:color="3150A6"/>
        <w:bottom w:val="single" w:sz="8" w:space="0" w:color="3150A6"/>
        <w:right w:val="single" w:sz="8" w:space="0" w:color="3150A6"/>
        <w:insideH w:val="single" w:sz="8" w:space="0" w:color="3150A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  <w:shd w:val="clear" w:color="auto" w:fill="1B2C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/>
          <w:left w:val="single" w:sz="8" w:space="0" w:color="3150A6"/>
          <w:bottom w:val="single" w:sz="8" w:space="0" w:color="3150A6"/>
          <w:right w:val="single" w:sz="8" w:space="0" w:color="3150A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1B2C5B"/>
        <w:bottom w:val="single" w:sz="8" w:space="0" w:color="1B2C5B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1B2C5B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band1Vert">
      <w:tblPr/>
      <w:tcPr>
        <w:shd w:val="clear" w:color="auto" w:fill="B4C2E8"/>
      </w:tcPr>
    </w:tblStylePr>
    <w:tblStylePr w:type="band1Horz">
      <w:tblPr/>
      <w:tcPr>
        <w:shd w:val="clear" w:color="auto" w:fill="B4C2E8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1B2C5B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/>
          <w:bottom w:val="single" w:sz="8" w:space="0" w:color="1B2C5B"/>
        </w:tcBorders>
      </w:tcPr>
    </w:tblStylePr>
    <w:tblStylePr w:type="band1Vert">
      <w:tblPr/>
      <w:tcPr>
        <w:shd w:val="clear" w:color="auto" w:fill="B4C2E8"/>
      </w:tcPr>
    </w:tblStylePr>
    <w:tblStylePr w:type="band1Horz">
      <w:tblPr/>
      <w:tcPr>
        <w:shd w:val="clear" w:color="auto" w:fill="1B2C5B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B2C5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B2C5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1B2C5B"/>
        <w:left w:val="single" w:sz="8" w:space="0" w:color="1B2C5B"/>
        <w:bottom w:val="single" w:sz="8" w:space="0" w:color="1B2C5B"/>
        <w:right w:val="single" w:sz="8" w:space="0" w:color="1B2C5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B2C5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B2C5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styleId="NormalWeb">
    <w:name w:val="Normal (Web)"/>
    <w:basedOn w:val="Normal"/>
    <w:rsid w:val="00DB3E6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Strong">
    <w:name w:val="Strong"/>
    <w:qFormat/>
    <w:rsid w:val="00DB3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hdwa.health.wa.gov.au\shared\Pharmacy\EPG\EHD\Pharm\Typing\Policy%20and%20Projects\Website\Medicines%20and%20Poisons%202017%20website%20update\RLINK%20%22http:\www.optometryboard.gov.au\Registration-Standards.aspx%22%20www.optometryboard.gov.au\Registration-Standards.aspxdar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nursingmidwiferyboard.gov.au/Registration-and-Endorsement/Endorsements-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odiatryboard.gov.au/Registration-Endorsement/Endorsement-Scheduled-Medicine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9DAC-845A-41C9-B117-28AF8C86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6618</CharactersWithSpaces>
  <SharedDoc>false</SharedDoc>
  <HLinks>
    <vt:vector size="24" baseType="variant">
      <vt:variant>
        <vt:i4>7340149</vt:i4>
      </vt:variant>
      <vt:variant>
        <vt:i4>9</vt:i4>
      </vt:variant>
      <vt:variant>
        <vt:i4>0</vt:i4>
      </vt:variant>
      <vt:variant>
        <vt:i4>5</vt:i4>
      </vt:variant>
      <vt:variant>
        <vt:lpwstr>http://www.nursingmidwiferyboard.gov.au/Registration-and-Endorsement/Endorsements-Notations/Prescribing-Formulary.aspx</vt:lpwstr>
      </vt:variant>
      <vt:variant>
        <vt:lpwstr/>
      </vt:variant>
      <vt:variant>
        <vt:i4>1769498</vt:i4>
      </vt:variant>
      <vt:variant>
        <vt:i4>6</vt:i4>
      </vt:variant>
      <vt:variant>
        <vt:i4>0</vt:i4>
      </vt:variant>
      <vt:variant>
        <vt:i4>5</vt:i4>
      </vt:variant>
      <vt:variant>
        <vt:lpwstr>http://www.podiatryboard.gov.au/Registration-Endorsement/Endorsement-Scheduled-Medicines.aspx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http://www.podiatryboard.gov.au/Registration-Endorsement/Endorsement-Scheduled-Medicines.aspx</vt:lpwstr>
      </vt:variant>
      <vt:variant>
        <vt:lpwstr/>
      </vt:variant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http://www.optometryboard.gov.au/Registration-Standards.aspx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Kealley, Glenn</cp:lastModifiedBy>
  <cp:revision>11</cp:revision>
  <cp:lastPrinted>2017-01-16T05:49:00Z</cp:lastPrinted>
  <dcterms:created xsi:type="dcterms:W3CDTF">2017-01-16T05:49:00Z</dcterms:created>
  <dcterms:modified xsi:type="dcterms:W3CDTF">2019-04-01T04:43:00Z</dcterms:modified>
  <cp:contentStatus/>
</cp:coreProperties>
</file>