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2E5F5B" w:rsidP="00E775B0">
      <w:r>
        <w:rPr>
          <w:noProof/>
          <w:lang w:eastAsia="en-AU"/>
        </w:rPr>
        <w:drawing>
          <wp:inline distT="0" distB="0" distL="0" distR="0" wp14:anchorId="2AA218D7" wp14:editId="2AA218D8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B3F" w:rsidRPr="00607EC2" w:rsidRDefault="004F5B3F" w:rsidP="004F5B3F">
      <w:pPr>
        <w:pStyle w:val="Flyerheadline"/>
      </w:pPr>
      <w:r>
        <w:t xml:space="preserve">Working with medicines </w:t>
      </w:r>
    </w:p>
    <w:p w:rsidR="004F5B3F" w:rsidRPr="00AD3D6F" w:rsidRDefault="004F5B3F" w:rsidP="004F5B3F">
      <w:pPr>
        <w:pStyle w:val="Heading1"/>
      </w:pPr>
      <w:r>
        <w:t xml:space="preserve">Anaesthetic technicians </w:t>
      </w:r>
    </w:p>
    <w:p w:rsidR="004F5B3F" w:rsidRPr="00517F10" w:rsidRDefault="004F5B3F" w:rsidP="004F5B3F">
      <w:pPr>
        <w:pStyle w:val="Heading2"/>
      </w:pPr>
      <w:r>
        <w:t>Regulations</w:t>
      </w:r>
    </w:p>
    <w:p w:rsidR="004F5B3F" w:rsidRDefault="004F5B3F" w:rsidP="004F5B3F">
      <w:pPr>
        <w:pStyle w:val="Copy"/>
        <w:rPr>
          <w:bCs/>
        </w:rPr>
      </w:pPr>
      <w:r>
        <w:rPr>
          <w:bCs/>
        </w:rPr>
        <w:t xml:space="preserve">Anaesthetic technicians, employed by a hospital, for the purposes of assisting an anaesthetist, have various authorities under the Medicines and Poisons Regulations 2016 to hold and use prescription medicines. </w:t>
      </w:r>
    </w:p>
    <w:p w:rsidR="004F5B3F" w:rsidRDefault="004F5B3F" w:rsidP="004F5B3F">
      <w:pPr>
        <w:pStyle w:val="Heading2"/>
      </w:pPr>
      <w:r>
        <w:t>Authority</w:t>
      </w:r>
    </w:p>
    <w:p w:rsidR="004F5B3F" w:rsidRPr="00815B1E" w:rsidRDefault="004F5B3F" w:rsidP="004F5B3F">
      <w:pPr>
        <w:pStyle w:val="Copy"/>
      </w:pPr>
      <w:r>
        <w:t>The following table outlines the authority of these practitioners to use medicines under the Regulations:</w:t>
      </w:r>
    </w:p>
    <w:tbl>
      <w:tblPr>
        <w:tblpPr w:leftFromText="180" w:rightFromText="180" w:vertAnchor="text" w:horzAnchor="margin" w:tblpY="101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496"/>
        <w:gridCol w:w="1497"/>
        <w:gridCol w:w="1651"/>
        <w:gridCol w:w="1343"/>
        <w:gridCol w:w="1497"/>
      </w:tblGrid>
      <w:tr w:rsidR="004F5B3F" w:rsidRPr="00AE5E90" w:rsidTr="00CE6AE2">
        <w:trPr>
          <w:tblHeader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4F5B3F" w:rsidRPr="008F28B0" w:rsidRDefault="004F5B3F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Practitioner</w:t>
            </w:r>
          </w:p>
        </w:tc>
        <w:tc>
          <w:tcPr>
            <w:tcW w:w="7484" w:type="dxa"/>
            <w:gridSpan w:val="5"/>
            <w:shd w:val="clear" w:color="auto" w:fill="FFFFFF"/>
            <w:vAlign w:val="center"/>
          </w:tcPr>
          <w:p w:rsidR="004F5B3F" w:rsidRPr="008F28B0" w:rsidRDefault="004F5B3F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Type of Authority</w:t>
            </w:r>
          </w:p>
        </w:tc>
      </w:tr>
      <w:tr w:rsidR="004F5B3F" w:rsidRPr="00AE5E90" w:rsidTr="004F5B3F">
        <w:trPr>
          <w:tblHeader/>
        </w:trPr>
        <w:tc>
          <w:tcPr>
            <w:tcW w:w="2410" w:type="dxa"/>
            <w:vMerge/>
            <w:shd w:val="clear" w:color="auto" w:fill="FFFFFF"/>
            <w:vAlign w:val="center"/>
          </w:tcPr>
          <w:p w:rsidR="004F5B3F" w:rsidRPr="008F28B0" w:rsidRDefault="004F5B3F" w:rsidP="00CE6AE2">
            <w:pPr>
              <w:jc w:val="center"/>
              <w:rPr>
                <w:b/>
                <w:lang w:eastAsia="en-AU"/>
              </w:rPr>
            </w:pPr>
          </w:p>
        </w:tc>
        <w:tc>
          <w:tcPr>
            <w:tcW w:w="1496" w:type="dxa"/>
            <w:shd w:val="clear" w:color="auto" w:fill="FFFFFF"/>
            <w:vAlign w:val="center"/>
          </w:tcPr>
          <w:p w:rsidR="004F5B3F" w:rsidRPr="008F28B0" w:rsidRDefault="004F5B3F" w:rsidP="00CE6AE2">
            <w:pPr>
              <w:ind w:left="-108" w:right="-115"/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Obtain (purchase)</w:t>
            </w:r>
          </w:p>
        </w:tc>
        <w:tc>
          <w:tcPr>
            <w:tcW w:w="1497" w:type="dxa"/>
            <w:shd w:val="clear" w:color="auto" w:fill="FFFFFF"/>
            <w:vAlign w:val="center"/>
          </w:tcPr>
          <w:p w:rsidR="004F5B3F" w:rsidRPr="008F28B0" w:rsidRDefault="004F5B3F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Possess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4F5B3F" w:rsidRPr="008F28B0" w:rsidRDefault="004F5B3F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Administer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4F5B3F" w:rsidRPr="008F28B0" w:rsidRDefault="004F5B3F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Supply</w:t>
            </w:r>
          </w:p>
        </w:tc>
        <w:tc>
          <w:tcPr>
            <w:tcW w:w="1497" w:type="dxa"/>
            <w:shd w:val="clear" w:color="auto" w:fill="FFFFFF"/>
            <w:vAlign w:val="center"/>
          </w:tcPr>
          <w:p w:rsidR="004F5B3F" w:rsidRPr="008F28B0" w:rsidRDefault="004F5B3F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Prescribe</w:t>
            </w:r>
          </w:p>
        </w:tc>
      </w:tr>
      <w:tr w:rsidR="004F5B3F" w:rsidRPr="00AE5E90" w:rsidTr="004F5B3F">
        <w:tc>
          <w:tcPr>
            <w:tcW w:w="2410" w:type="dxa"/>
            <w:vAlign w:val="center"/>
          </w:tcPr>
          <w:p w:rsidR="004F5B3F" w:rsidRPr="00654160" w:rsidRDefault="004F5B3F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 xml:space="preserve">Anaesthetic Technician </w:t>
            </w:r>
          </w:p>
        </w:tc>
        <w:tc>
          <w:tcPr>
            <w:tcW w:w="14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F5B3F" w:rsidRPr="00654160" w:rsidRDefault="004F5B3F" w:rsidP="00CE6AE2">
            <w:pPr>
              <w:jc w:val="center"/>
              <w:rPr>
                <w:lang w:eastAsia="en-AU"/>
              </w:rPr>
            </w:pPr>
          </w:p>
        </w:tc>
        <w:tc>
          <w:tcPr>
            <w:tcW w:w="1497" w:type="dxa"/>
            <w:vAlign w:val="center"/>
          </w:tcPr>
          <w:p w:rsidR="004F5B3F" w:rsidRPr="00654160" w:rsidRDefault="004F5B3F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651" w:type="dxa"/>
            <w:vAlign w:val="center"/>
          </w:tcPr>
          <w:p w:rsidR="004F5B3F" w:rsidRDefault="004F5B3F" w:rsidP="00CE6AE2">
            <w:pPr>
              <w:ind w:left="-16" w:right="-120"/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         </w:t>
            </w:r>
          </w:p>
          <w:p w:rsidR="004F5B3F" w:rsidRPr="00654160" w:rsidRDefault="004F5B3F" w:rsidP="00CE6AE2">
            <w:pPr>
              <w:ind w:left="-16" w:right="-120"/>
              <w:jc w:val="center"/>
              <w:rPr>
                <w:lang w:eastAsia="en-AU"/>
              </w:rPr>
            </w:pPr>
            <w:bookmarkStart w:id="0" w:name="_GoBack"/>
            <w:bookmarkEnd w:id="0"/>
            <w:r>
              <w:rPr>
                <w:lang w:eastAsia="en-AU"/>
              </w:rPr>
              <w:t>under direction of anaesthetist</w:t>
            </w:r>
          </w:p>
        </w:tc>
        <w:tc>
          <w:tcPr>
            <w:tcW w:w="134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F5B3F" w:rsidRPr="00654160" w:rsidRDefault="004F5B3F" w:rsidP="00CE6AE2">
            <w:pPr>
              <w:jc w:val="center"/>
              <w:rPr>
                <w:lang w:eastAsia="en-AU"/>
              </w:rPr>
            </w:pPr>
          </w:p>
        </w:tc>
        <w:tc>
          <w:tcPr>
            <w:tcW w:w="149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F5B3F" w:rsidRPr="00654160" w:rsidRDefault="004F5B3F" w:rsidP="00CE6AE2">
            <w:pPr>
              <w:jc w:val="center"/>
              <w:rPr>
                <w:lang w:eastAsia="en-AU"/>
              </w:rPr>
            </w:pPr>
          </w:p>
        </w:tc>
      </w:tr>
    </w:tbl>
    <w:p w:rsidR="004F5B3F" w:rsidRDefault="004F5B3F" w:rsidP="004F5B3F">
      <w:pPr>
        <w:pStyle w:val="Copy"/>
      </w:pPr>
    </w:p>
    <w:p w:rsidR="004F5B3F" w:rsidRDefault="004F5B3F" w:rsidP="004F5B3F">
      <w:pPr>
        <w:pStyle w:val="Copy"/>
      </w:pPr>
    </w:p>
    <w:p w:rsidR="004F5B3F" w:rsidRDefault="004F5B3F" w:rsidP="004F5B3F">
      <w:pPr>
        <w:pStyle w:val="Copy"/>
      </w:pPr>
    </w:p>
    <w:p w:rsidR="004F5B3F" w:rsidRDefault="004F5B3F" w:rsidP="004F5B3F">
      <w:pPr>
        <w:pStyle w:val="Copy"/>
      </w:pPr>
    </w:p>
    <w:p w:rsidR="004F5B3F" w:rsidRDefault="004F5B3F" w:rsidP="004F5B3F">
      <w:pPr>
        <w:pStyle w:val="Copy"/>
      </w:pPr>
    </w:p>
    <w:p w:rsidR="004F5B3F" w:rsidRDefault="004F5B3F" w:rsidP="004F5B3F">
      <w:pPr>
        <w:pStyle w:val="Copy"/>
      </w:pPr>
    </w:p>
    <w:p w:rsidR="004F5B3F" w:rsidRDefault="004F5B3F" w:rsidP="004F5B3F">
      <w:pPr>
        <w:pStyle w:val="Copy"/>
      </w:pPr>
    </w:p>
    <w:p w:rsidR="004F5B3F" w:rsidRDefault="004F5B3F" w:rsidP="004F5B3F">
      <w:pPr>
        <w:pStyle w:val="Copy"/>
      </w:pPr>
      <w:r>
        <w:t>Any authority is limited to the lawful practice of the professional and includes:</w:t>
      </w:r>
    </w:p>
    <w:p w:rsidR="004F5B3F" w:rsidRDefault="004F5B3F" w:rsidP="004F5B3F">
      <w:pPr>
        <w:pStyle w:val="Copy"/>
        <w:numPr>
          <w:ilvl w:val="0"/>
          <w:numId w:val="2"/>
        </w:numPr>
      </w:pPr>
      <w:r>
        <w:t>within scope of employment to assist the anaesthetist;</w:t>
      </w:r>
    </w:p>
    <w:p w:rsidR="004F5B3F" w:rsidRDefault="004F5B3F" w:rsidP="004F5B3F">
      <w:pPr>
        <w:pStyle w:val="Copy"/>
        <w:numPr>
          <w:ilvl w:val="0"/>
          <w:numId w:val="2"/>
        </w:numPr>
      </w:pPr>
      <w:r>
        <w:t xml:space="preserve">at the hospital of employment; </w:t>
      </w:r>
    </w:p>
    <w:p w:rsidR="004F5B3F" w:rsidRDefault="004F5B3F" w:rsidP="004F5B3F">
      <w:pPr>
        <w:pStyle w:val="Copy"/>
        <w:numPr>
          <w:ilvl w:val="0"/>
          <w:numId w:val="2"/>
        </w:numPr>
      </w:pPr>
      <w:r>
        <w:t xml:space="preserve">for </w:t>
      </w:r>
      <w:r w:rsidRPr="00B24D18">
        <w:t xml:space="preserve">patients under </w:t>
      </w:r>
      <w:r>
        <w:t xml:space="preserve">the </w:t>
      </w:r>
      <w:r w:rsidRPr="00B24D18">
        <w:t>care</w:t>
      </w:r>
      <w:r>
        <w:t xml:space="preserve"> of the hospital, anaesthetist and technician; and</w:t>
      </w:r>
    </w:p>
    <w:p w:rsidR="004F5B3F" w:rsidRDefault="004F5B3F" w:rsidP="004F5B3F">
      <w:pPr>
        <w:pStyle w:val="Copy"/>
        <w:numPr>
          <w:ilvl w:val="0"/>
          <w:numId w:val="2"/>
        </w:numPr>
      </w:pPr>
      <w:proofErr w:type="gramStart"/>
      <w:r>
        <w:t>any</w:t>
      </w:r>
      <w:proofErr w:type="gramEnd"/>
      <w:r>
        <w:t xml:space="preserve"> relevant restrictions or conditions imposed on the individual technician.</w:t>
      </w:r>
    </w:p>
    <w:p w:rsidR="004F5B3F" w:rsidRDefault="004F5B3F" w:rsidP="004F5B3F">
      <w:pPr>
        <w:pStyle w:val="Heading2"/>
      </w:pPr>
      <w:r>
        <w:t>Purchasing medicines</w:t>
      </w:r>
    </w:p>
    <w:p w:rsidR="004F5B3F" w:rsidRDefault="004F5B3F" w:rsidP="004F5B3F">
      <w:pPr>
        <w:rPr>
          <w:lang w:val="en-US"/>
        </w:rPr>
      </w:pPr>
      <w:r>
        <w:rPr>
          <w:lang w:val="en-US"/>
        </w:rPr>
        <w:t xml:space="preserve">Medicines must be purchased by an </w:t>
      </w:r>
      <w:proofErr w:type="spellStart"/>
      <w:r>
        <w:rPr>
          <w:lang w:val="en-US"/>
        </w:rPr>
        <w:t>authorised</w:t>
      </w:r>
      <w:proofErr w:type="spellEnd"/>
      <w:r>
        <w:rPr>
          <w:lang w:val="en-US"/>
        </w:rPr>
        <w:t xml:space="preserve"> health practitioner (e.g. medical practitioner) or Poisons Permit holder (e.g. hospital), but may be held and handled on their behalf by an </w:t>
      </w:r>
      <w:proofErr w:type="spellStart"/>
      <w:r>
        <w:rPr>
          <w:lang w:val="en-US"/>
        </w:rPr>
        <w:t>anaesthetic</w:t>
      </w:r>
      <w:proofErr w:type="spellEnd"/>
      <w:r>
        <w:rPr>
          <w:lang w:val="en-US"/>
        </w:rPr>
        <w:t xml:space="preserve"> technician, in accordance with the Regulations. </w:t>
      </w:r>
    </w:p>
    <w:p w:rsidR="004F5B3F" w:rsidRDefault="004F5B3F" w:rsidP="004F5B3F">
      <w:pPr>
        <w:pStyle w:val="Heading2"/>
      </w:pPr>
      <w:r>
        <w:t>Administration</w:t>
      </w:r>
    </w:p>
    <w:p w:rsidR="004F5B3F" w:rsidRDefault="004F5B3F" w:rsidP="004F5B3F">
      <w:r>
        <w:t>Anaesthetic technicians may administer a Schedule 4 (</w:t>
      </w:r>
      <w:proofErr w:type="spellStart"/>
      <w:r>
        <w:t>S4</w:t>
      </w:r>
      <w:proofErr w:type="spellEnd"/>
      <w:r>
        <w:t>) or Schedule 8 (</w:t>
      </w:r>
      <w:proofErr w:type="spellStart"/>
      <w:r>
        <w:t>S8</w:t>
      </w:r>
      <w:proofErr w:type="spellEnd"/>
      <w:r>
        <w:t>) medicine in accordance with their authority, when directed by an anaesthetist (authorised prescriber).</w:t>
      </w:r>
    </w:p>
    <w:p w:rsidR="004F5B3F" w:rsidRDefault="004F5B3F" w:rsidP="004F5B3F">
      <w:pPr>
        <w:pStyle w:val="Heading2"/>
      </w:pPr>
      <w:r>
        <w:lastRenderedPageBreak/>
        <w:t>Storage</w:t>
      </w:r>
    </w:p>
    <w:p w:rsidR="004F5B3F" w:rsidRDefault="004F5B3F" w:rsidP="004F5B3F">
      <w:pPr>
        <w:pStyle w:val="Copy"/>
      </w:pPr>
      <w:proofErr w:type="spellStart"/>
      <w:r>
        <w:t>S4</w:t>
      </w:r>
      <w:proofErr w:type="spellEnd"/>
      <w:r>
        <w:t xml:space="preserve"> medicines must be stored in a locked storage facility to prevent unauthorised access. For example: a lockable room, cupboard, cabinet or refrigerator. Precautions must be taken to ensure keys are not accessible to unauthorised staff. </w:t>
      </w:r>
    </w:p>
    <w:p w:rsidR="004F5B3F" w:rsidRDefault="004F5B3F" w:rsidP="004F5B3F">
      <w:pPr>
        <w:pStyle w:val="Copy"/>
      </w:pPr>
      <w:proofErr w:type="spellStart"/>
      <w:r>
        <w:t>S8</w:t>
      </w:r>
      <w:proofErr w:type="spellEnd"/>
      <w:r>
        <w:t xml:space="preserve"> medicines must be stored in a locked purpose-built drug safe. On most hospital wards, a locked hardwood or metal cabinet can be used instead of a safe. Storage of a total of </w:t>
      </w:r>
      <w:proofErr w:type="spellStart"/>
      <w:r>
        <w:t>S8</w:t>
      </w:r>
      <w:proofErr w:type="spellEnd"/>
      <w:r>
        <w:t xml:space="preserve"> medicines less than of 250 doses requires a small safe and greater than 500 doses requires a large safe. Motion detectors covering the safe are required when more than 250 doses are stored. </w:t>
      </w:r>
    </w:p>
    <w:p w:rsidR="004F5B3F" w:rsidRDefault="004F5B3F" w:rsidP="004F5B3F">
      <w:pPr>
        <w:pStyle w:val="Heading2"/>
      </w:pPr>
      <w:r>
        <w:t>Recording</w:t>
      </w:r>
    </w:p>
    <w:p w:rsidR="004F5B3F" w:rsidRDefault="004F5B3F" w:rsidP="004F5B3F">
      <w:pPr>
        <w:pStyle w:val="Copy"/>
      </w:pPr>
      <w:r>
        <w:t xml:space="preserve">Anaesthetic technicians must make accurate clinical records of all medicines administered and retain these for at least 2 years for </w:t>
      </w:r>
      <w:proofErr w:type="spellStart"/>
      <w:r>
        <w:t>S4</w:t>
      </w:r>
      <w:proofErr w:type="spellEnd"/>
      <w:r>
        <w:t xml:space="preserve"> medicines, or 5 years for </w:t>
      </w:r>
      <w:proofErr w:type="spellStart"/>
      <w:r>
        <w:t>S8</w:t>
      </w:r>
      <w:proofErr w:type="spellEnd"/>
      <w:r>
        <w:t xml:space="preserve"> medicines.  In a hospital, the patient medication chart will generally act as the clinical record.</w:t>
      </w:r>
    </w:p>
    <w:p w:rsidR="004F5B3F" w:rsidRDefault="004F5B3F" w:rsidP="004F5B3F">
      <w:pPr>
        <w:pStyle w:val="Copy"/>
      </w:pPr>
      <w:r>
        <w:t xml:space="preserve">A register of transactions, kept in an approved manner and form, must be maintained for all incoming and outgoing </w:t>
      </w:r>
      <w:proofErr w:type="spellStart"/>
      <w:r>
        <w:t>S8</w:t>
      </w:r>
      <w:proofErr w:type="spellEnd"/>
      <w:r>
        <w:t xml:space="preserve"> medicines. A monthly inventory must be also performed. </w:t>
      </w:r>
    </w:p>
    <w:p w:rsidR="004F5B3F" w:rsidRDefault="004F5B3F" w:rsidP="004F5B3F">
      <w:pPr>
        <w:pStyle w:val="Copy"/>
      </w:pPr>
      <w:r>
        <w:t>All records must be available to be produced if demanded by an authorised officer of the Department of Health.</w:t>
      </w:r>
      <w:r w:rsidRPr="00CB311B">
        <w:t xml:space="preserve"> </w:t>
      </w:r>
    </w:p>
    <w:p w:rsidR="004F5B3F" w:rsidRDefault="004F5B3F" w:rsidP="004F5B3F">
      <w:pPr>
        <w:pStyle w:val="Heading2"/>
      </w:pPr>
      <w:r>
        <w:t>Compliance assessment</w:t>
      </w:r>
    </w:p>
    <w:p w:rsidR="004F5B3F" w:rsidRDefault="004F5B3F" w:rsidP="004F5B3F">
      <w:pPr>
        <w:pStyle w:val="Copy"/>
      </w:pPr>
      <w:r>
        <w:t xml:space="preserve">Anaesthetic technicians may be required to participate in routine audit assessments to monitor compliance with these requirements. </w:t>
      </w:r>
    </w:p>
    <w:p w:rsidR="004F5B3F" w:rsidRPr="00075FBC" w:rsidRDefault="004F5B3F" w:rsidP="004F5B3F">
      <w:pPr>
        <w:pStyle w:val="Copy"/>
      </w:pPr>
      <w:r>
        <w:t xml:space="preserve">Non-compliance with the regulations may result in regulatory actions such as restrictions or loss of medicines authorities and/or prosecution under the legislation. </w:t>
      </w:r>
    </w:p>
    <w:p w:rsidR="004F5B3F" w:rsidRDefault="004F5B3F" w:rsidP="004F5B3F">
      <w:pPr>
        <w:pStyle w:val="Heading2"/>
      </w:pPr>
      <w:r>
        <w:t>More information</w:t>
      </w:r>
    </w:p>
    <w:p w:rsidR="004F5B3F" w:rsidRDefault="004F5B3F" w:rsidP="004F5B3F">
      <w:pPr>
        <w:pStyle w:val="Copy"/>
      </w:pPr>
      <w:r>
        <w:t xml:space="preserve">For more information contact the Medicines and Poisons Regulation Branch on: </w:t>
      </w:r>
    </w:p>
    <w:p w:rsidR="004F5B3F" w:rsidRDefault="004F5B3F" w:rsidP="004F5B3F">
      <w:pPr>
        <w:pStyle w:val="Copy"/>
        <w:numPr>
          <w:ilvl w:val="0"/>
          <w:numId w:val="13"/>
        </w:numPr>
      </w:pPr>
      <w:r>
        <w:t xml:space="preserve">(08) 9222 6883 (Monday – Friday, </w:t>
      </w:r>
      <w:proofErr w:type="spellStart"/>
      <w:r>
        <w:t>8.30am</w:t>
      </w:r>
      <w:proofErr w:type="spellEnd"/>
      <w:r>
        <w:t xml:space="preserve"> – </w:t>
      </w:r>
      <w:proofErr w:type="spellStart"/>
      <w:r>
        <w:t>4.30pm</w:t>
      </w:r>
      <w:proofErr w:type="spellEnd"/>
      <w:r>
        <w:t>)</w:t>
      </w:r>
    </w:p>
    <w:p w:rsidR="004F5B3F" w:rsidRDefault="004F5B3F" w:rsidP="004F5B3F">
      <w:pPr>
        <w:pStyle w:val="Copy"/>
        <w:numPr>
          <w:ilvl w:val="0"/>
          <w:numId w:val="13"/>
        </w:numPr>
        <w:rPr>
          <w:b/>
        </w:rPr>
      </w:pPr>
      <w:r>
        <w:rPr>
          <w:b/>
        </w:rPr>
        <w:t xml:space="preserve"> </w:t>
      </w:r>
      <w:hyperlink r:id="rId10" w:history="1">
        <w:proofErr w:type="spellStart"/>
        <w:r>
          <w:rPr>
            <w:rStyle w:val="Hyperlink"/>
          </w:rPr>
          <w:t>poisons@health.wa.gov.au</w:t>
        </w:r>
        <w:proofErr w:type="spellEnd"/>
      </w:hyperlink>
    </w:p>
    <w:p w:rsidR="00BB4555" w:rsidRPr="00E73BFC" w:rsidRDefault="00BB4555" w:rsidP="00FA07F4">
      <w:pPr>
        <w:pStyle w:val="Heading2"/>
        <w:rPr>
          <w:rFonts w:eastAsia="Times New Roman"/>
          <w:lang w:val="en-US"/>
        </w:rPr>
      </w:pPr>
    </w:p>
    <w:sectPr w:rsidR="00BB4555" w:rsidRPr="00E73BFC" w:rsidSect="00E73BFC">
      <w:footerReference w:type="default" r:id="rId11"/>
      <w:headerReference w:type="first" r:id="rId12"/>
      <w:footerReference w:type="first" r:id="rId13"/>
      <w:pgSz w:w="11906" w:h="16838" w:code="9"/>
      <w:pgMar w:top="709" w:right="680" w:bottom="993" w:left="680" w:header="392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51" w:rsidRDefault="008C5F51" w:rsidP="0013662A">
      <w:pPr>
        <w:spacing w:after="0"/>
      </w:pPr>
      <w:r>
        <w:separator/>
      </w:r>
    </w:p>
  </w:endnote>
  <w:endnote w:type="continuationSeparator" w:id="0">
    <w:p w:rsidR="008C5F51" w:rsidRDefault="008C5F51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Default="009B0844" w:rsidP="009B0844">
    <w:pPr>
      <w:spacing w:after="300"/>
      <w:ind w:right="-1"/>
    </w:pPr>
    <w:r>
      <w:t>© Department of Health 201</w:t>
    </w:r>
    <w:r w:rsidR="004F5B3F">
      <w:t>7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1B2C5B" w:themeColor="accent1"/>
        <w:sz w:val="28"/>
        <w:szCs w:val="28"/>
      </w:rPr>
    </w:pPr>
    <w:proofErr w:type="spellStart"/>
    <w:r w:rsidRPr="00483052">
      <w:rPr>
        <w:rFonts w:ascii="Arial" w:hAnsi="Arial"/>
        <w:color w:val="1B2C5B" w:themeColor="accent1"/>
        <w:sz w:val="28"/>
        <w:szCs w:val="28"/>
      </w:rPr>
      <w:t>health.wa.gov.au</w:t>
    </w:r>
    <w:proofErr w:type="spellEnd"/>
    <w:r w:rsidR="004F5B3F">
      <w:rPr>
        <w:rFonts w:ascii="Arial" w:hAnsi="Arial"/>
        <w:color w:val="1B2C5B" w:themeColor="accent1"/>
        <w:sz w:val="28"/>
        <w:szCs w:val="28"/>
      </w:rPr>
      <w:tab/>
    </w:r>
    <w:r w:rsidR="004F5B3F">
      <w:rPr>
        <w:rFonts w:ascii="Arial" w:hAnsi="Arial"/>
        <w:color w:val="1B2C5B" w:themeColor="accent1"/>
        <w:sz w:val="28"/>
        <w:szCs w:val="28"/>
      </w:rPr>
      <w:tab/>
    </w:r>
    <w:r w:rsidR="004F5B3F">
      <w:rPr>
        <w:rFonts w:ascii="Arial" w:hAnsi="Arial"/>
        <w:color w:val="1B2C5B" w:themeColor="accent1"/>
        <w:sz w:val="28"/>
        <w:szCs w:val="28"/>
      </w:rPr>
      <w:tab/>
    </w:r>
    <w:r w:rsidR="004F5B3F">
      <w:rPr>
        <w:rFonts w:ascii="Arial" w:hAnsi="Arial"/>
        <w:color w:val="1B2C5B" w:themeColor="accent1"/>
        <w:sz w:val="28"/>
        <w:szCs w:val="28"/>
      </w:rPr>
      <w:tab/>
    </w:r>
    <w:r w:rsidR="004F5B3F">
      <w:rPr>
        <w:rFonts w:ascii="Arial" w:hAnsi="Arial"/>
        <w:color w:val="1B2C5B" w:themeColor="accent1"/>
        <w:sz w:val="28"/>
        <w:szCs w:val="28"/>
      </w:rPr>
      <w:tab/>
    </w:r>
    <w:r w:rsidR="004F5B3F">
      <w:rPr>
        <w:rFonts w:ascii="Arial" w:hAnsi="Arial"/>
        <w:color w:val="1B2C5B" w:themeColor="accent1"/>
        <w:sz w:val="28"/>
        <w:szCs w:val="28"/>
      </w:rPr>
      <w:tab/>
    </w:r>
    <w:r w:rsidR="004F5B3F">
      <w:rPr>
        <w:rFonts w:ascii="Arial" w:hAnsi="Arial"/>
        <w:color w:val="1B2C5B" w:themeColor="accent1"/>
        <w:sz w:val="28"/>
        <w:szCs w:val="28"/>
      </w:rPr>
      <w:tab/>
    </w:r>
    <w:r w:rsidR="004F5B3F">
      <w:rPr>
        <w:rFonts w:ascii="Arial" w:hAnsi="Arial"/>
        <w:color w:val="1B2C5B" w:themeColor="accent1"/>
        <w:sz w:val="28"/>
        <w:szCs w:val="28"/>
      </w:rPr>
      <w:tab/>
    </w:r>
    <w:r w:rsidR="004F5B3F">
      <w:rPr>
        <w:rFonts w:ascii="Arial" w:hAnsi="Arial"/>
        <w:color w:val="1B2C5B" w:themeColor="accent1"/>
        <w:sz w:val="28"/>
        <w:szCs w:val="28"/>
      </w:rPr>
      <w:tab/>
    </w:r>
    <w:r w:rsidR="004F5B3F">
      <w:rPr>
        <w:rFonts w:ascii="Arial" w:hAnsi="Arial"/>
        <w:color w:val="1B2C5B" w:themeColor="accent1"/>
        <w:sz w:val="28"/>
        <w:szCs w:val="28"/>
      </w:rPr>
      <w:tab/>
    </w:r>
    <w:r w:rsidR="004F5B3F">
      <w:rPr>
        <w:rFonts w:ascii="Arial" w:hAnsi="Arial"/>
        <w:color w:val="1B2C5B" w:themeColor="accent1"/>
        <w:sz w:val="28"/>
        <w:szCs w:val="28"/>
      </w:rPr>
      <w:tab/>
    </w:r>
    <w:proofErr w:type="spellStart"/>
    <w:r w:rsidR="004F5B3F" w:rsidRPr="004F5B3F">
      <w:rPr>
        <w:rFonts w:ascii="Arial" w:hAnsi="Arial"/>
        <w:color w:val="1B2C5B" w:themeColor="accent1"/>
        <w:sz w:val="20"/>
        <w:szCs w:val="20"/>
      </w:rPr>
      <w:t>D00017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232283">
    <w:pPr>
      <w:spacing w:after="240"/>
      <w:rPr>
        <w:b/>
        <w:color w:val="1B2C5B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51" w:rsidRDefault="008C5F51" w:rsidP="0013662A">
      <w:pPr>
        <w:spacing w:after="0"/>
      </w:pPr>
      <w:r>
        <w:separator/>
      </w:r>
    </w:p>
  </w:footnote>
  <w:footnote w:type="continuationSeparator" w:id="0">
    <w:p w:rsidR="008C5F51" w:rsidRDefault="008C5F51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2B75FD7" wp14:editId="3FE47B65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54AC"/>
    <w:multiLevelType w:val="hybridMultilevel"/>
    <w:tmpl w:val="3EE07F62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E4DDB"/>
    <w:multiLevelType w:val="hybridMultilevel"/>
    <w:tmpl w:val="2DA2EBBA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41A47"/>
    <w:multiLevelType w:val="hybridMultilevel"/>
    <w:tmpl w:val="558674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155C0"/>
    <w:multiLevelType w:val="hybridMultilevel"/>
    <w:tmpl w:val="D576C76E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B2C5B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3"/>
  </w:num>
  <w:num w:numId="12">
    <w:abstractNumId w:val="1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13662A"/>
    <w:rsid w:val="001437E0"/>
    <w:rsid w:val="00171B7B"/>
    <w:rsid w:val="001C7D1F"/>
    <w:rsid w:val="001F6030"/>
    <w:rsid w:val="001F68E9"/>
    <w:rsid w:val="00204ED3"/>
    <w:rsid w:val="00206A29"/>
    <w:rsid w:val="00220E8F"/>
    <w:rsid w:val="00232283"/>
    <w:rsid w:val="002C7D7D"/>
    <w:rsid w:val="002E5F5B"/>
    <w:rsid w:val="00355004"/>
    <w:rsid w:val="003929E7"/>
    <w:rsid w:val="003F0FD0"/>
    <w:rsid w:val="00435D98"/>
    <w:rsid w:val="00466DB9"/>
    <w:rsid w:val="00471692"/>
    <w:rsid w:val="004727D7"/>
    <w:rsid w:val="00483052"/>
    <w:rsid w:val="00492C70"/>
    <w:rsid w:val="004A609E"/>
    <w:rsid w:val="004C2780"/>
    <w:rsid w:val="004C27CB"/>
    <w:rsid w:val="004C6976"/>
    <w:rsid w:val="004F5B3F"/>
    <w:rsid w:val="00521D1A"/>
    <w:rsid w:val="0056716B"/>
    <w:rsid w:val="00597A85"/>
    <w:rsid w:val="005A409E"/>
    <w:rsid w:val="005D455D"/>
    <w:rsid w:val="006F1E2D"/>
    <w:rsid w:val="006F52D0"/>
    <w:rsid w:val="00753150"/>
    <w:rsid w:val="0077027C"/>
    <w:rsid w:val="00794DF0"/>
    <w:rsid w:val="007C3222"/>
    <w:rsid w:val="007D3AE7"/>
    <w:rsid w:val="007D793C"/>
    <w:rsid w:val="00811331"/>
    <w:rsid w:val="00881846"/>
    <w:rsid w:val="00882643"/>
    <w:rsid w:val="00897837"/>
    <w:rsid w:val="008C5F51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91C4C"/>
    <w:rsid w:val="00AA1620"/>
    <w:rsid w:val="00AF0C79"/>
    <w:rsid w:val="00B17ECC"/>
    <w:rsid w:val="00B37EEE"/>
    <w:rsid w:val="00B85FD3"/>
    <w:rsid w:val="00BB4555"/>
    <w:rsid w:val="00BB5682"/>
    <w:rsid w:val="00BD41EB"/>
    <w:rsid w:val="00BD7C33"/>
    <w:rsid w:val="00BE3C2D"/>
    <w:rsid w:val="00C7143D"/>
    <w:rsid w:val="00C729CE"/>
    <w:rsid w:val="00CF2778"/>
    <w:rsid w:val="00CF64E2"/>
    <w:rsid w:val="00D147D4"/>
    <w:rsid w:val="00D636EE"/>
    <w:rsid w:val="00D9301F"/>
    <w:rsid w:val="00DD22D0"/>
    <w:rsid w:val="00DE4BFE"/>
    <w:rsid w:val="00E40563"/>
    <w:rsid w:val="00E47483"/>
    <w:rsid w:val="00E73BFC"/>
    <w:rsid w:val="00E775B0"/>
    <w:rsid w:val="00EA55C8"/>
    <w:rsid w:val="00F647BD"/>
    <w:rsid w:val="00FA07F4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1B2C5B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1B2C5B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1B2C5B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1B2C5B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1B2C5B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1B2C5B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14204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142044" w:themeColor="accent1" w:themeShade="BF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  <w:insideH w:val="single" w:sz="8" w:space="0" w:color="1B2C5B" w:themeColor="accent1"/>
        <w:insideV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B4C2E8" w:themeFill="accent1" w:themeFillTint="3F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1B2C5B" w:themeFill="accent2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150A6" w:themeColor="accent1" w:themeTint="BF"/>
        <w:left w:val="single" w:sz="8" w:space="0" w:color="3150A6" w:themeColor="accent1" w:themeTint="BF"/>
        <w:bottom w:val="single" w:sz="8" w:space="0" w:color="3150A6" w:themeColor="accent1" w:themeTint="BF"/>
        <w:right w:val="single" w:sz="8" w:space="0" w:color="3150A6" w:themeColor="accent1" w:themeTint="BF"/>
        <w:insideH w:val="single" w:sz="8" w:space="0" w:color="3150A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B4C2E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1B2C5B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rsid w:val="00B37EEE"/>
    <w:pPr>
      <w:spacing w:after="300"/>
    </w:pPr>
    <w:rPr>
      <w:rFonts w:eastAsia="Times New Roman" w:cs="Arial"/>
      <w:bCs/>
      <w:color w:val="004B8D"/>
      <w:sz w:val="56"/>
      <w:szCs w:val="56"/>
    </w:rPr>
  </w:style>
  <w:style w:type="paragraph" w:customStyle="1" w:styleId="Copy">
    <w:name w:val="Copy"/>
    <w:basedOn w:val="Normal"/>
    <w:rsid w:val="00B37EEE"/>
    <w:pPr>
      <w:spacing w:after="120" w:line="300" w:lineRule="exact"/>
    </w:pPr>
    <w:rPr>
      <w:rFonts w:eastAsia="Calibri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1B2C5B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1B2C5B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1B2C5B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1B2C5B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1B2C5B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1B2C5B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14204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142044" w:themeColor="accent1" w:themeShade="BF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  <w:insideH w:val="single" w:sz="8" w:space="0" w:color="1B2C5B" w:themeColor="accent1"/>
        <w:insideV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B4C2E8" w:themeFill="accent1" w:themeFillTint="3F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1B2C5B" w:themeFill="accent2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150A6" w:themeColor="accent1" w:themeTint="BF"/>
        <w:left w:val="single" w:sz="8" w:space="0" w:color="3150A6" w:themeColor="accent1" w:themeTint="BF"/>
        <w:bottom w:val="single" w:sz="8" w:space="0" w:color="3150A6" w:themeColor="accent1" w:themeTint="BF"/>
        <w:right w:val="single" w:sz="8" w:space="0" w:color="3150A6" w:themeColor="accent1" w:themeTint="BF"/>
        <w:insideH w:val="single" w:sz="8" w:space="0" w:color="3150A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B4C2E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1B2C5B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rsid w:val="00B37EEE"/>
    <w:pPr>
      <w:spacing w:after="300"/>
    </w:pPr>
    <w:rPr>
      <w:rFonts w:eastAsia="Times New Roman" w:cs="Arial"/>
      <w:bCs/>
      <w:color w:val="004B8D"/>
      <w:sz w:val="56"/>
      <w:szCs w:val="56"/>
    </w:rPr>
  </w:style>
  <w:style w:type="paragraph" w:customStyle="1" w:styleId="Copy">
    <w:name w:val="Copy"/>
    <w:basedOn w:val="Normal"/>
    <w:rsid w:val="00B37EEE"/>
    <w:pPr>
      <w:spacing w:after="120" w:line="300" w:lineRule="exact"/>
    </w:pPr>
    <w:rPr>
      <w:rFonts w:eastAsia="Calibr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isons@health.wa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avy PMS 288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1B2C5B"/>
      </a:accent1>
      <a:accent2>
        <a:srgbClr val="1B2C5B"/>
      </a:accent2>
      <a:accent3>
        <a:srgbClr val="1B2C5B"/>
      </a:accent3>
      <a:accent4>
        <a:srgbClr val="1B2C5B"/>
      </a:accent4>
      <a:accent5>
        <a:srgbClr val="1B2C5B"/>
      </a:accent5>
      <a:accent6>
        <a:srgbClr val="1B2C5B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4969-264D-4036-81A6-80C53751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Gontaszewski, Susan</cp:lastModifiedBy>
  <cp:revision>3</cp:revision>
  <dcterms:created xsi:type="dcterms:W3CDTF">2017-01-09T02:04:00Z</dcterms:created>
  <dcterms:modified xsi:type="dcterms:W3CDTF">2017-01-09T02:04:00Z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